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14B230E" w14:textId="756C2664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</w:t>
      </w:r>
      <w:r w:rsidR="006F5AA5">
        <w:t>3</w:t>
      </w:r>
      <w:r w:rsidR="00F72F4F">
        <w:tab/>
      </w:r>
      <w:r w:rsidR="00F72F4F">
        <w:tab/>
      </w:r>
      <w:r w:rsidR="00222762" w:rsidRPr="00222762">
        <w:t>R4-241776</w:t>
      </w:r>
      <w:r w:rsidR="00265F80">
        <w:t>3</w:t>
      </w:r>
    </w:p>
    <w:p w14:paraId="4A8CACC6" w14:textId="2DF2432F" w:rsidR="00F72F4F" w:rsidRPr="00FD166F" w:rsidRDefault="006F5AA5" w:rsidP="00F72F4F">
      <w:pPr>
        <w:pStyle w:val="CH"/>
        <w:tabs>
          <w:tab w:val="clear" w:pos="7920"/>
        </w:tabs>
        <w:rPr>
          <w:b w:val="0"/>
        </w:rPr>
      </w:pPr>
      <w:r>
        <w:t>Orlando</w:t>
      </w:r>
      <w:r w:rsidR="00727A5D">
        <w:t xml:space="preserve">, </w:t>
      </w:r>
      <w:r>
        <w:t>USA</w:t>
      </w:r>
      <w:r w:rsidR="00727A5D">
        <w:t xml:space="preserve">, </w:t>
      </w:r>
      <w:r>
        <w:t>November</w:t>
      </w:r>
      <w:r w:rsidR="00727A5D" w:rsidRPr="00A14D3F">
        <w:t xml:space="preserve"> </w:t>
      </w:r>
      <w:r>
        <w:t>18</w:t>
      </w:r>
      <w:r w:rsidR="00727A5D">
        <w:rPr>
          <w:vertAlign w:val="superscript"/>
        </w:rPr>
        <w:t>th</w:t>
      </w:r>
      <w:r w:rsidR="00727A5D" w:rsidRPr="00A14D3F">
        <w:t xml:space="preserve"> – </w:t>
      </w:r>
      <w:r>
        <w:t>22</w:t>
      </w:r>
      <w:r>
        <w:rPr>
          <w:vertAlign w:val="superscript"/>
        </w:rPr>
        <w:t>nd</w:t>
      </w:r>
      <w:r w:rsidR="00727A5D" w:rsidRPr="00A14D3F">
        <w:t>, 202</w:t>
      </w:r>
      <w:r w:rsidR="00727A5D">
        <w:t>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F17EC97" w:rsidR="00D309CC" w:rsidRPr="004D7D9D" w:rsidRDefault="00D309CC" w:rsidP="00D309CC">
      <w:pPr>
        <w:pStyle w:val="CH"/>
        <w:rPr>
          <w:b w:val="0"/>
          <w:bCs/>
        </w:rPr>
      </w:pPr>
      <w:r w:rsidRPr="0008103A">
        <w:t>Agenda item:</w:t>
      </w:r>
      <w:r>
        <w:tab/>
      </w:r>
      <w:r w:rsidR="006F5AA5">
        <w:t>7</w:t>
      </w:r>
      <w:r w:rsidR="004538F1">
        <w:t>.1.1.1.2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3C71EE3F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E97F17" w:rsidRPr="00E97F17">
        <w:t xml:space="preserve">On PC1.5 intra-band </w:t>
      </w:r>
      <w:r w:rsidR="006F5AA5">
        <w:t xml:space="preserve">non-contiguous </w:t>
      </w:r>
      <w:r w:rsidR="00E97F17" w:rsidRPr="00E97F17">
        <w:t>UL CA MPR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69990B1B" w:rsidR="00104BC6" w:rsidRDefault="00104BC6" w:rsidP="00D309CC">
      <w:pPr>
        <w:pStyle w:val="CH"/>
      </w:pPr>
      <w:r>
        <w:t>WI/SI:</w:t>
      </w:r>
      <w:r>
        <w:tab/>
      </w:r>
      <w:r w:rsidR="00401FA4" w:rsidRPr="00401FA4">
        <w:rPr>
          <w:lang w:val="en-GB"/>
        </w:rPr>
        <w:t>NR_ENDC_RF_Ph4-Core</w:t>
      </w:r>
    </w:p>
    <w:p w14:paraId="6C6D1281" w14:textId="1174F91B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401FA4">
        <w:t>9</w:t>
      </w:r>
    </w:p>
    <w:p w14:paraId="2E4E044D" w14:textId="69F2C2E2" w:rsidR="00D309CC" w:rsidRDefault="00D309CC" w:rsidP="00D309CC">
      <w:pPr>
        <w:pStyle w:val="CH"/>
      </w:pPr>
      <w:r>
        <w:t>Document for:</w:t>
      </w:r>
      <w:r>
        <w:tab/>
      </w:r>
      <w:r w:rsidR="003B5C1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32824C0C" w14:textId="224D5F17" w:rsidR="00403FF3" w:rsidRDefault="00620C82" w:rsidP="002B20B0">
      <w:pPr>
        <w:spacing w:after="18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The </w:t>
      </w:r>
      <w:r w:rsidR="00B504F7" w:rsidRPr="00B504F7">
        <w:rPr>
          <w:rFonts w:ascii="Arial" w:hAnsi="Arial" w:cs="Arial"/>
          <w:sz w:val="20"/>
          <w:szCs w:val="20"/>
        </w:rPr>
        <w:t xml:space="preserve">Rel-19 RAN4 non-spectrum WID/SID package </w:t>
      </w:r>
      <w:r w:rsidR="00B504F7">
        <w:rPr>
          <w:rFonts w:ascii="Arial" w:hAnsi="Arial" w:cs="Arial"/>
          <w:sz w:val="20"/>
          <w:szCs w:val="20"/>
        </w:rPr>
        <w:t>has been</w:t>
      </w:r>
      <w:r w:rsidR="00B504F7" w:rsidRPr="00B504F7">
        <w:rPr>
          <w:rFonts w:ascii="Arial" w:hAnsi="Arial" w:cs="Arial"/>
          <w:sz w:val="20"/>
          <w:szCs w:val="20"/>
        </w:rPr>
        <w:t xml:space="preserve"> approved in RAN #103 meeting</w:t>
      </w:r>
      <w:r w:rsidR="00DE0987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In consideration</w:t>
      </w:r>
      <w:r w:rsidR="003869F7" w:rsidRPr="003869F7">
        <w:rPr>
          <w:rFonts w:ascii="Arial" w:hAnsi="Arial" w:cs="Arial"/>
          <w:sz w:val="20"/>
          <w:szCs w:val="20"/>
        </w:rPr>
        <w:t xml:space="preserve"> that the uplink coverage is crucial for 5G and 5G-adavanced roll-out</w:t>
      </w:r>
      <w:r w:rsidR="00DE0987">
        <w:rPr>
          <w:rFonts w:ascii="Arial" w:hAnsi="Arial" w:cs="Arial"/>
          <w:sz w:val="20"/>
          <w:szCs w:val="20"/>
        </w:rPr>
        <w:t xml:space="preserve"> </w:t>
      </w:r>
      <w:r w:rsidR="003869F7">
        <w:rPr>
          <w:rFonts w:ascii="Arial" w:hAnsi="Arial" w:cs="Arial"/>
          <w:sz w:val="20"/>
          <w:szCs w:val="20"/>
        </w:rPr>
        <w:t xml:space="preserve">and the </w:t>
      </w:r>
      <w:r w:rsidR="00403FF3">
        <w:rPr>
          <w:rFonts w:ascii="Arial" w:hAnsi="Arial" w:cs="Arial"/>
          <w:sz w:val="20"/>
          <w:szCs w:val="20"/>
        </w:rPr>
        <w:t xml:space="preserve">continued strong interests from operators in higher UE maximum output power such as PC1.5 for their </w:t>
      </w:r>
      <w:r w:rsidR="00B504F7">
        <w:rPr>
          <w:rFonts w:ascii="Arial" w:hAnsi="Arial" w:cs="Arial"/>
          <w:sz w:val="20"/>
          <w:szCs w:val="20"/>
        </w:rPr>
        <w:t xml:space="preserve">band </w:t>
      </w:r>
      <w:r w:rsidR="00403FF3">
        <w:rPr>
          <w:rFonts w:ascii="Arial" w:hAnsi="Arial" w:cs="Arial"/>
          <w:sz w:val="20"/>
          <w:szCs w:val="20"/>
        </w:rPr>
        <w:t>combinations, o</w:t>
      </w:r>
      <w:r w:rsidR="00403FF3" w:rsidRPr="00403FF3">
        <w:rPr>
          <w:rFonts w:ascii="Arial" w:hAnsi="Arial" w:cs="Arial"/>
          <w:sz w:val="20"/>
          <w:szCs w:val="20"/>
        </w:rPr>
        <w:t>ne of the key objectives under the</w:t>
      </w:r>
      <w:r w:rsidR="00403FF3">
        <w:rPr>
          <w:rFonts w:ascii="Arial" w:hAnsi="Arial" w:cs="Arial"/>
          <w:sz w:val="20"/>
          <w:szCs w:val="20"/>
        </w:rPr>
        <w:t xml:space="preserve"> new Rel-19</w:t>
      </w:r>
      <w:r w:rsidR="00403FF3" w:rsidRPr="00403FF3">
        <w:rPr>
          <w:rFonts w:ascii="Arial" w:hAnsi="Arial" w:cs="Arial"/>
          <w:sz w:val="20"/>
          <w:szCs w:val="20"/>
        </w:rPr>
        <w:t xml:space="preserve"> “UE RF enhancements for NR FR1/FR2 and EN-DC, Phase 4” work item </w:t>
      </w:r>
      <w:r w:rsidR="00B9016C">
        <w:rPr>
          <w:rFonts w:ascii="Arial" w:hAnsi="Arial" w:cs="Arial"/>
          <w:sz w:val="20"/>
          <w:szCs w:val="20"/>
        </w:rPr>
        <w:t>[</w:t>
      </w:r>
      <w:r w:rsidR="00B504F7">
        <w:rPr>
          <w:rFonts w:ascii="Arial" w:hAnsi="Arial" w:cs="Arial"/>
          <w:sz w:val="20"/>
          <w:szCs w:val="20"/>
        </w:rPr>
        <w:t>1</w:t>
      </w:r>
      <w:r w:rsidR="00B9016C">
        <w:rPr>
          <w:rFonts w:ascii="Arial" w:hAnsi="Arial" w:cs="Arial"/>
          <w:sz w:val="20"/>
          <w:szCs w:val="20"/>
        </w:rPr>
        <w:t xml:space="preserve">] </w:t>
      </w:r>
      <w:r w:rsidR="00403FF3" w:rsidRPr="00403FF3">
        <w:rPr>
          <w:rFonts w:ascii="Arial" w:hAnsi="Arial" w:cs="Arial"/>
          <w:sz w:val="20"/>
          <w:szCs w:val="20"/>
        </w:rPr>
        <w:t>is to specify the generic requirements of HPUE for NR uplink CA in FR1 and EN-DC with NR FR1 bands</w:t>
      </w:r>
      <w:r w:rsidR="00403FF3">
        <w:rPr>
          <w:rFonts w:ascii="Arial" w:hAnsi="Arial" w:cs="Arial"/>
          <w:sz w:val="20"/>
          <w:szCs w:val="20"/>
        </w:rPr>
        <w:t xml:space="preserve"> where the features include,</w:t>
      </w:r>
    </w:p>
    <w:p w14:paraId="3CCD6A2E" w14:textId="77777777" w:rsidR="002B20B0" w:rsidRPr="002B20B0" w:rsidRDefault="002B20B0" w:rsidP="00B0024C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 xml:space="preserve">PC1.5 for intra-band contiguous UL CA with and without UL MIMO </w:t>
      </w:r>
    </w:p>
    <w:p w14:paraId="2F6F4E7D" w14:textId="320F19A6" w:rsidR="002B20B0" w:rsidRPr="002B20B0" w:rsidRDefault="00EC14B1" w:rsidP="00B0024C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PC1.5 </w:t>
      </w:r>
      <w:r w:rsidR="002B20B0" w:rsidRPr="002B20B0">
        <w:rPr>
          <w:rFonts w:ascii="Arial" w:hAnsi="Arial" w:cs="Arial"/>
          <w:sz w:val="20"/>
          <w:szCs w:val="20"/>
        </w:rPr>
        <w:t>Intra-band non-contiguous UL CA without UL MIMO</w:t>
      </w:r>
    </w:p>
    <w:p w14:paraId="5C22DAD7" w14:textId="77777777" w:rsidR="002B20B0" w:rsidRPr="002B20B0" w:rsidRDefault="002B20B0" w:rsidP="00B0024C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>PC1.5 2-band inter-band UL CA with 2Tx or 3Tx for handheld UE and FWA</w:t>
      </w:r>
    </w:p>
    <w:p w14:paraId="5551249C" w14:textId="77777777" w:rsidR="002B20B0" w:rsidRDefault="002B20B0" w:rsidP="00B0024C">
      <w:pPr>
        <w:numPr>
          <w:ilvl w:val="2"/>
          <w:numId w:val="30"/>
        </w:numPr>
        <w:spacing w:after="80"/>
        <w:ind w:left="576" w:hanging="288"/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>PC2 and PC1.5 2-band inter-band EN-DC with 2Tx or 3Tx for handheld UE and FWA UE</w:t>
      </w:r>
    </w:p>
    <w:p w14:paraId="798B9BF0" w14:textId="2D94E7C6" w:rsidR="002B20B0" w:rsidRDefault="002B20B0" w:rsidP="002B20B0">
      <w:pPr>
        <w:numPr>
          <w:ilvl w:val="2"/>
          <w:numId w:val="30"/>
        </w:numPr>
        <w:ind w:left="576" w:hanging="288"/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 xml:space="preserve">Increasing UE transmission power limit up to the sum of maximum output power per band for NR inter-band </w:t>
      </w:r>
      <w:r w:rsidR="00D47831">
        <w:rPr>
          <w:rFonts w:ascii="Arial" w:hAnsi="Arial" w:cs="Arial"/>
          <w:sz w:val="20"/>
          <w:szCs w:val="20"/>
        </w:rPr>
        <w:t xml:space="preserve">UL </w:t>
      </w:r>
      <w:r w:rsidRPr="002B20B0">
        <w:rPr>
          <w:rFonts w:ascii="Arial" w:hAnsi="Arial" w:cs="Arial"/>
          <w:sz w:val="20"/>
          <w:szCs w:val="20"/>
        </w:rPr>
        <w:t>CA and EN-DC HPUE</w:t>
      </w:r>
    </w:p>
    <w:p w14:paraId="215CC401" w14:textId="77777777" w:rsidR="002B20B0" w:rsidRDefault="008A07D9" w:rsidP="002B20B0">
      <w:pPr>
        <w:jc w:val="both"/>
        <w:rPr>
          <w:rFonts w:ascii="Arial" w:hAnsi="Arial" w:cs="Arial"/>
          <w:sz w:val="20"/>
          <w:szCs w:val="20"/>
        </w:rPr>
      </w:pPr>
      <w:r w:rsidRPr="002B20B0">
        <w:rPr>
          <w:rFonts w:ascii="Arial" w:hAnsi="Arial" w:cs="Arial"/>
          <w:sz w:val="20"/>
          <w:szCs w:val="20"/>
        </w:rPr>
        <w:t xml:space="preserve"> </w:t>
      </w:r>
    </w:p>
    <w:p w14:paraId="005183B1" w14:textId="7FA92EBC" w:rsidR="009B4165" w:rsidRDefault="00620C82" w:rsidP="00A117D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last RAN4 meeting, companies had provided their </w:t>
      </w:r>
      <w:r w:rsidR="00BF6574">
        <w:rPr>
          <w:rFonts w:ascii="Arial" w:hAnsi="Arial" w:cs="Arial"/>
          <w:sz w:val="20"/>
          <w:szCs w:val="20"/>
        </w:rPr>
        <w:t>further</w:t>
      </w:r>
      <w:r>
        <w:rPr>
          <w:rFonts w:ascii="Arial" w:hAnsi="Arial" w:cs="Arial"/>
          <w:sz w:val="20"/>
          <w:szCs w:val="20"/>
        </w:rPr>
        <w:t xml:space="preserve"> views on the respective features above where the </w:t>
      </w:r>
      <w:r w:rsidR="00E97F17">
        <w:rPr>
          <w:rFonts w:ascii="Arial" w:hAnsi="Arial" w:cs="Arial"/>
          <w:sz w:val="20"/>
          <w:szCs w:val="20"/>
        </w:rPr>
        <w:t>additional agreements</w:t>
      </w:r>
      <w:r>
        <w:rPr>
          <w:rFonts w:ascii="Arial" w:hAnsi="Arial" w:cs="Arial"/>
          <w:sz w:val="20"/>
          <w:szCs w:val="20"/>
        </w:rPr>
        <w:t xml:space="preserve"> were </w:t>
      </w:r>
      <w:r w:rsidR="00E97F17">
        <w:rPr>
          <w:rFonts w:ascii="Arial" w:hAnsi="Arial" w:cs="Arial"/>
          <w:sz w:val="20"/>
          <w:szCs w:val="20"/>
        </w:rPr>
        <w:t>captured</w:t>
      </w:r>
      <w:r>
        <w:rPr>
          <w:rFonts w:ascii="Arial" w:hAnsi="Arial" w:cs="Arial"/>
          <w:sz w:val="20"/>
          <w:szCs w:val="20"/>
        </w:rPr>
        <w:t xml:space="preserve"> </w:t>
      </w:r>
      <w:r w:rsidR="00E97F17">
        <w:rPr>
          <w:rFonts w:ascii="Arial" w:hAnsi="Arial" w:cs="Arial"/>
          <w:sz w:val="20"/>
          <w:szCs w:val="20"/>
        </w:rPr>
        <w:t>in</w:t>
      </w:r>
      <w:r>
        <w:rPr>
          <w:rFonts w:ascii="Arial" w:hAnsi="Arial" w:cs="Arial"/>
          <w:sz w:val="20"/>
          <w:szCs w:val="20"/>
        </w:rPr>
        <w:t xml:space="preserve"> </w:t>
      </w:r>
      <w:r w:rsidR="00E97F17">
        <w:rPr>
          <w:rFonts w:ascii="Arial" w:hAnsi="Arial" w:cs="Arial"/>
          <w:sz w:val="20"/>
          <w:szCs w:val="20"/>
        </w:rPr>
        <w:t>the</w:t>
      </w:r>
      <w:r>
        <w:rPr>
          <w:rFonts w:ascii="Arial" w:hAnsi="Arial" w:cs="Arial"/>
          <w:sz w:val="20"/>
          <w:szCs w:val="20"/>
        </w:rPr>
        <w:t xml:space="preserve"> approved </w:t>
      </w:r>
      <w:r w:rsidR="00BF6574">
        <w:rPr>
          <w:rFonts w:ascii="Arial" w:hAnsi="Arial" w:cs="Arial"/>
          <w:sz w:val="20"/>
          <w:szCs w:val="20"/>
        </w:rPr>
        <w:t>“</w:t>
      </w:r>
      <w:r w:rsidR="006F5AA5" w:rsidRPr="006F5AA5">
        <w:rPr>
          <w:rFonts w:ascii="Arial" w:hAnsi="Arial" w:cs="Arial"/>
          <w:sz w:val="20"/>
          <w:szCs w:val="20"/>
        </w:rPr>
        <w:t>WF on HPUE RF requirements</w:t>
      </w:r>
      <w:r w:rsidR="00B0024C">
        <w:rPr>
          <w:rFonts w:ascii="Arial" w:hAnsi="Arial" w:cs="Arial"/>
          <w:sz w:val="20"/>
          <w:szCs w:val="20"/>
        </w:rPr>
        <w:t>” [2].</w:t>
      </w:r>
      <w:r w:rsidR="00727A5D">
        <w:rPr>
          <w:rFonts w:ascii="Arial" w:hAnsi="Arial" w:cs="Arial"/>
          <w:sz w:val="20"/>
          <w:szCs w:val="20"/>
        </w:rPr>
        <w:t xml:space="preserve"> For PC1.5 intra-band UL CA, RAN4 </w:t>
      </w:r>
      <w:r w:rsidR="00126D51">
        <w:rPr>
          <w:rFonts w:ascii="Arial" w:hAnsi="Arial" w:cs="Arial"/>
          <w:sz w:val="20"/>
          <w:szCs w:val="20"/>
        </w:rPr>
        <w:t xml:space="preserve">has </w:t>
      </w:r>
      <w:r w:rsidR="00727A5D">
        <w:rPr>
          <w:rFonts w:ascii="Arial" w:hAnsi="Arial" w:cs="Arial"/>
          <w:sz w:val="20"/>
          <w:szCs w:val="20"/>
        </w:rPr>
        <w:t xml:space="preserve">agreed </w:t>
      </w:r>
      <w:r w:rsidR="006F5AA5">
        <w:rPr>
          <w:rFonts w:ascii="Arial" w:hAnsi="Arial" w:cs="Arial"/>
          <w:sz w:val="20"/>
          <w:szCs w:val="20"/>
        </w:rPr>
        <w:t xml:space="preserve">that </w:t>
      </w:r>
      <w:r w:rsidR="00126D51">
        <w:rPr>
          <w:rFonts w:ascii="Arial" w:hAnsi="Arial" w:cs="Arial"/>
          <w:sz w:val="20"/>
          <w:szCs w:val="20"/>
        </w:rPr>
        <w:t xml:space="preserve">the </w:t>
      </w:r>
      <w:r w:rsidR="006F5AA5">
        <w:rPr>
          <w:rFonts w:ascii="Arial" w:hAnsi="Arial" w:cs="Arial"/>
          <w:sz w:val="20"/>
          <w:szCs w:val="20"/>
        </w:rPr>
        <w:t xml:space="preserve">MPR for contiguous UL CA will be evaluated and specified </w:t>
      </w:r>
      <w:r w:rsidR="000D1E70">
        <w:rPr>
          <w:rFonts w:ascii="Arial" w:hAnsi="Arial" w:cs="Arial"/>
          <w:sz w:val="20"/>
          <w:szCs w:val="20"/>
        </w:rPr>
        <w:t xml:space="preserve">based on equal PSD between the two carriers, while for non-contiguous UL CA, the PSD imbalance assumption between the two carriers </w:t>
      </w:r>
      <w:r w:rsidR="00126D51">
        <w:rPr>
          <w:rFonts w:ascii="Arial" w:hAnsi="Arial" w:cs="Arial"/>
          <w:sz w:val="20"/>
          <w:szCs w:val="20"/>
        </w:rPr>
        <w:t xml:space="preserve">for MPR evaluation </w:t>
      </w:r>
      <w:r w:rsidR="000D1E70">
        <w:rPr>
          <w:rFonts w:ascii="Arial" w:hAnsi="Arial" w:cs="Arial"/>
          <w:sz w:val="20"/>
          <w:szCs w:val="20"/>
        </w:rPr>
        <w:t xml:space="preserve">was still FFS. </w:t>
      </w:r>
    </w:p>
    <w:p w14:paraId="750D3A2C" w14:textId="77777777" w:rsidR="009B4165" w:rsidRDefault="009B4165" w:rsidP="009B4165">
      <w:pPr>
        <w:jc w:val="both"/>
        <w:rPr>
          <w:rFonts w:ascii="Arial" w:hAnsi="Arial" w:cs="Arial"/>
          <w:sz w:val="20"/>
          <w:szCs w:val="20"/>
        </w:rPr>
      </w:pPr>
    </w:p>
    <w:p w14:paraId="06E92CC7" w14:textId="45EB4F76" w:rsidR="008E7986" w:rsidRPr="002B20B0" w:rsidRDefault="002B11CC" w:rsidP="00A117D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contribution,</w:t>
      </w:r>
      <w:r w:rsidR="000D1E70">
        <w:rPr>
          <w:rFonts w:ascii="Arial" w:hAnsi="Arial" w:cs="Arial"/>
          <w:sz w:val="20"/>
          <w:szCs w:val="20"/>
        </w:rPr>
        <w:t xml:space="preserve"> </w:t>
      </w:r>
      <w:r w:rsidR="00126D51">
        <w:rPr>
          <w:rFonts w:ascii="Arial" w:hAnsi="Arial" w:cs="Arial"/>
          <w:sz w:val="20"/>
          <w:szCs w:val="20"/>
        </w:rPr>
        <w:t xml:space="preserve">we </w:t>
      </w:r>
      <w:r w:rsidR="00E25585">
        <w:rPr>
          <w:rFonts w:ascii="Arial" w:hAnsi="Arial" w:cs="Arial"/>
          <w:sz w:val="20"/>
          <w:szCs w:val="20"/>
        </w:rPr>
        <w:t>share our concern that there may not be any performance gain for PC1.5 intra-band non-contiguous UL CA as compared to its PC2 counterpart due to that the PA configuration may have been assumed to be (PC2 + PC2) for PC2 MPR requirements which is also the same PA configuration for PC1.5. Considering that supporting</w:t>
      </w:r>
      <w:r w:rsidR="000821DE">
        <w:rPr>
          <w:rFonts w:ascii="Arial" w:hAnsi="Arial" w:cs="Arial"/>
          <w:sz w:val="20"/>
          <w:szCs w:val="20"/>
        </w:rPr>
        <w:t xml:space="preserve"> PC1.5 intra-band contiguous UL CA </w:t>
      </w:r>
      <w:r w:rsidR="008600C1">
        <w:rPr>
          <w:rFonts w:ascii="Arial" w:hAnsi="Arial" w:cs="Arial"/>
          <w:sz w:val="20"/>
          <w:szCs w:val="20"/>
        </w:rPr>
        <w:t xml:space="preserve">without UL MIMO </w:t>
      </w:r>
      <w:r w:rsidR="000821DE">
        <w:rPr>
          <w:rFonts w:ascii="Arial" w:hAnsi="Arial" w:cs="Arial"/>
          <w:sz w:val="20"/>
          <w:szCs w:val="20"/>
        </w:rPr>
        <w:t xml:space="preserve">could be a diminishing return, we propose to introduce UL Tx switching with UL MIMO as an enhancement feature for intra-band non-contiguous UL CA </w:t>
      </w:r>
      <w:r w:rsidR="008600C1">
        <w:rPr>
          <w:rFonts w:ascii="Arial" w:hAnsi="Arial" w:cs="Arial"/>
          <w:sz w:val="20"/>
          <w:szCs w:val="20"/>
        </w:rPr>
        <w:t xml:space="preserve">[3] </w:t>
      </w:r>
      <w:r w:rsidR="000821DE">
        <w:rPr>
          <w:rFonts w:ascii="Arial" w:hAnsi="Arial" w:cs="Arial"/>
          <w:sz w:val="20"/>
          <w:szCs w:val="20"/>
        </w:rPr>
        <w:t xml:space="preserve">to mitigate the coverage loss issue due to the considerable MPR under simultaneous non-contiguous carriers transmission. </w:t>
      </w:r>
      <w:r w:rsidR="00E25585">
        <w:rPr>
          <w:rFonts w:ascii="Arial" w:hAnsi="Arial" w:cs="Arial"/>
          <w:sz w:val="20"/>
          <w:szCs w:val="20"/>
        </w:rPr>
        <w:t xml:space="preserve"> </w:t>
      </w:r>
      <w:r w:rsidR="00126D51">
        <w:rPr>
          <w:rFonts w:ascii="Arial" w:hAnsi="Arial" w:cs="Arial"/>
          <w:sz w:val="20"/>
          <w:szCs w:val="20"/>
        </w:rPr>
        <w:t xml:space="preserve"> </w:t>
      </w:r>
      <w:r w:rsidR="00271FFB">
        <w:rPr>
          <w:rFonts w:ascii="Arial" w:hAnsi="Arial" w:cs="Arial"/>
          <w:sz w:val="20"/>
          <w:szCs w:val="20"/>
        </w:rPr>
        <w:t xml:space="preserve"> </w:t>
      </w:r>
      <w:r w:rsidR="00C4751A">
        <w:rPr>
          <w:rFonts w:ascii="Arial" w:hAnsi="Arial" w:cs="Arial"/>
          <w:sz w:val="20"/>
          <w:szCs w:val="20"/>
        </w:rPr>
        <w:t xml:space="preserve">  </w:t>
      </w:r>
      <w:r w:rsidR="009B4165">
        <w:rPr>
          <w:rFonts w:ascii="Arial" w:hAnsi="Arial" w:cs="Arial"/>
          <w:sz w:val="20"/>
          <w:szCs w:val="20"/>
        </w:rPr>
        <w:t xml:space="preserve"> </w:t>
      </w:r>
      <w:r w:rsidR="00493A70">
        <w:rPr>
          <w:rFonts w:ascii="Arial" w:hAnsi="Arial" w:cs="Arial"/>
          <w:sz w:val="20"/>
          <w:szCs w:val="20"/>
        </w:rPr>
        <w:t xml:space="preserve"> </w:t>
      </w:r>
      <w:r w:rsidR="00B0024C">
        <w:rPr>
          <w:rFonts w:ascii="Arial" w:hAnsi="Arial" w:cs="Arial"/>
          <w:sz w:val="20"/>
          <w:szCs w:val="20"/>
        </w:rPr>
        <w:t xml:space="preserve">  </w:t>
      </w:r>
      <w:r w:rsidR="006261A9">
        <w:rPr>
          <w:rFonts w:ascii="Arial" w:hAnsi="Arial" w:cs="Arial"/>
          <w:sz w:val="20"/>
          <w:szCs w:val="20"/>
        </w:rPr>
        <w:t xml:space="preserve">     </w:t>
      </w:r>
      <w:r w:rsidR="00FF187D" w:rsidRPr="002B20B0">
        <w:rPr>
          <w:rFonts w:ascii="Arial" w:hAnsi="Arial" w:cs="Arial"/>
          <w:sz w:val="20"/>
          <w:szCs w:val="20"/>
        </w:rPr>
        <w:t xml:space="preserve"> </w:t>
      </w:r>
      <w:r w:rsidR="00415661" w:rsidRPr="002B20B0">
        <w:rPr>
          <w:rFonts w:ascii="Arial" w:hAnsi="Arial" w:cs="Arial"/>
          <w:sz w:val="20"/>
          <w:szCs w:val="20"/>
        </w:rPr>
        <w:t xml:space="preserve">   </w:t>
      </w:r>
      <w:r w:rsidR="00210031" w:rsidRPr="002B20B0">
        <w:rPr>
          <w:rFonts w:ascii="Arial" w:hAnsi="Arial" w:cs="Arial"/>
          <w:sz w:val="20"/>
          <w:szCs w:val="20"/>
        </w:rPr>
        <w:t xml:space="preserve"> </w:t>
      </w:r>
      <w:r w:rsidR="00D237ED" w:rsidRPr="002B20B0">
        <w:rPr>
          <w:rFonts w:ascii="Arial" w:hAnsi="Arial" w:cs="Arial"/>
          <w:sz w:val="20"/>
          <w:szCs w:val="20"/>
        </w:rPr>
        <w:t xml:space="preserve">   </w:t>
      </w:r>
      <w:r w:rsidR="003B61AB" w:rsidRPr="002B20B0">
        <w:rPr>
          <w:rFonts w:ascii="Arial" w:hAnsi="Arial" w:cs="Arial"/>
          <w:sz w:val="20"/>
          <w:szCs w:val="20"/>
        </w:rPr>
        <w:t xml:space="preserve"> </w:t>
      </w:r>
      <w:r w:rsidR="00291A2A" w:rsidRPr="002B20B0">
        <w:rPr>
          <w:rFonts w:ascii="Arial" w:hAnsi="Arial" w:cs="Arial"/>
          <w:sz w:val="20"/>
          <w:szCs w:val="20"/>
        </w:rPr>
        <w:t xml:space="preserve">   </w:t>
      </w:r>
      <w:r w:rsidR="002A195A" w:rsidRPr="002B20B0">
        <w:rPr>
          <w:rFonts w:ascii="Arial" w:hAnsi="Arial" w:cs="Arial"/>
          <w:sz w:val="20"/>
          <w:szCs w:val="20"/>
        </w:rPr>
        <w:t xml:space="preserve">   </w:t>
      </w:r>
      <w:r w:rsidR="00122D29" w:rsidRPr="002B20B0">
        <w:rPr>
          <w:rFonts w:ascii="Arial" w:hAnsi="Arial" w:cs="Arial"/>
          <w:sz w:val="20"/>
          <w:szCs w:val="20"/>
        </w:rPr>
        <w:t xml:space="preserve">  </w:t>
      </w:r>
      <w:r w:rsidR="00065297" w:rsidRPr="002B20B0">
        <w:rPr>
          <w:rFonts w:ascii="Arial" w:hAnsi="Arial" w:cs="Arial"/>
          <w:sz w:val="20"/>
          <w:szCs w:val="20"/>
        </w:rPr>
        <w:t xml:space="preserve"> </w:t>
      </w:r>
      <w:r w:rsidR="007D7EEC" w:rsidRPr="002B20B0">
        <w:rPr>
          <w:rFonts w:ascii="Arial" w:hAnsi="Arial" w:cs="Arial"/>
          <w:sz w:val="20"/>
          <w:szCs w:val="20"/>
        </w:rPr>
        <w:t xml:space="preserve"> </w:t>
      </w:r>
      <w:r w:rsidR="00852D30" w:rsidRPr="002B20B0">
        <w:rPr>
          <w:rFonts w:ascii="Arial" w:hAnsi="Arial" w:cs="Arial"/>
          <w:sz w:val="20"/>
          <w:szCs w:val="20"/>
        </w:rPr>
        <w:t xml:space="preserve"> </w:t>
      </w:r>
      <w:r w:rsidR="00B92FE4" w:rsidRPr="002B20B0">
        <w:rPr>
          <w:rFonts w:ascii="Arial" w:hAnsi="Arial" w:cs="Arial"/>
          <w:sz w:val="20"/>
          <w:szCs w:val="20"/>
        </w:rPr>
        <w:t xml:space="preserve">   </w:t>
      </w:r>
      <w:r w:rsidR="00D83D56" w:rsidRPr="002B20B0">
        <w:rPr>
          <w:rFonts w:ascii="Arial" w:hAnsi="Arial" w:cs="Arial"/>
          <w:sz w:val="20"/>
          <w:szCs w:val="20"/>
        </w:rPr>
        <w:t xml:space="preserve"> </w:t>
      </w:r>
      <w:r w:rsidR="00E808A6" w:rsidRPr="002B20B0">
        <w:rPr>
          <w:rFonts w:ascii="Arial" w:hAnsi="Arial" w:cs="Arial"/>
          <w:sz w:val="20"/>
          <w:szCs w:val="20"/>
        </w:rPr>
        <w:t xml:space="preserve">  </w:t>
      </w:r>
      <w:r w:rsidR="00DE1BDE" w:rsidRPr="002B20B0">
        <w:rPr>
          <w:rFonts w:ascii="Arial" w:hAnsi="Arial" w:cs="Arial"/>
          <w:sz w:val="20"/>
          <w:szCs w:val="20"/>
        </w:rPr>
        <w:t xml:space="preserve"> </w:t>
      </w:r>
      <w:r w:rsidR="00A15F2F" w:rsidRPr="002B20B0">
        <w:rPr>
          <w:rFonts w:ascii="Arial" w:hAnsi="Arial" w:cs="Arial"/>
          <w:sz w:val="20"/>
          <w:szCs w:val="20"/>
        </w:rPr>
        <w:t xml:space="preserve">    </w:t>
      </w:r>
      <w:r w:rsidR="006660AB" w:rsidRPr="002B20B0">
        <w:rPr>
          <w:rFonts w:ascii="Arial" w:hAnsi="Arial" w:cs="Arial"/>
          <w:sz w:val="20"/>
          <w:szCs w:val="20"/>
        </w:rPr>
        <w:t xml:space="preserve"> </w:t>
      </w:r>
      <w:r w:rsidR="00BE1A7C" w:rsidRPr="002B20B0">
        <w:rPr>
          <w:rFonts w:ascii="Arial" w:hAnsi="Arial" w:cs="Arial"/>
          <w:sz w:val="20"/>
          <w:szCs w:val="20"/>
        </w:rPr>
        <w:t xml:space="preserve"> </w:t>
      </w:r>
      <w:r w:rsidR="004D35DC" w:rsidRPr="002B20B0">
        <w:rPr>
          <w:rFonts w:ascii="Arial" w:hAnsi="Arial" w:cs="Arial"/>
          <w:sz w:val="20"/>
          <w:szCs w:val="20"/>
        </w:rPr>
        <w:t xml:space="preserve"> </w:t>
      </w:r>
      <w:r w:rsidR="005B177F" w:rsidRPr="002B20B0">
        <w:rPr>
          <w:rFonts w:ascii="Arial" w:hAnsi="Arial" w:cs="Arial"/>
          <w:sz w:val="20"/>
          <w:szCs w:val="20"/>
        </w:rPr>
        <w:t xml:space="preserve"> </w:t>
      </w:r>
      <w:r w:rsidR="00E167A5" w:rsidRPr="002B20B0">
        <w:rPr>
          <w:rFonts w:ascii="Arial" w:hAnsi="Arial" w:cs="Arial"/>
          <w:sz w:val="20"/>
          <w:szCs w:val="20"/>
        </w:rPr>
        <w:t xml:space="preserve">  </w:t>
      </w:r>
      <w:r w:rsidR="00D22187" w:rsidRPr="002B20B0">
        <w:rPr>
          <w:rFonts w:ascii="Arial" w:hAnsi="Arial" w:cs="Arial"/>
          <w:sz w:val="20"/>
          <w:szCs w:val="20"/>
        </w:rPr>
        <w:t xml:space="preserve">    </w:t>
      </w:r>
      <w:r w:rsidR="00C677C1" w:rsidRPr="002B20B0">
        <w:rPr>
          <w:rFonts w:ascii="Arial" w:hAnsi="Arial" w:cs="Arial"/>
          <w:sz w:val="20"/>
          <w:szCs w:val="20"/>
        </w:rPr>
        <w:t xml:space="preserve"> </w:t>
      </w:r>
    </w:p>
    <w:p w14:paraId="661095E6" w14:textId="48E05D20" w:rsidR="004C2676" w:rsidRPr="00295527" w:rsidRDefault="00D463D6" w:rsidP="00295527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0FD11183" w14:textId="77777777" w:rsidR="00295527" w:rsidRDefault="00295527" w:rsidP="00295527">
      <w:pPr>
        <w:jc w:val="both"/>
        <w:rPr>
          <w:rFonts w:ascii="Arial" w:hAnsi="Arial" w:cs="Arial"/>
          <w:bCs/>
          <w:sz w:val="20"/>
          <w:szCs w:val="20"/>
        </w:rPr>
      </w:pPr>
    </w:p>
    <w:p w14:paraId="686EE9FE" w14:textId="77777777" w:rsidR="00885446" w:rsidRDefault="001D67FE" w:rsidP="008C6C3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Our concern </w:t>
      </w:r>
      <w:r w:rsidR="00885446">
        <w:rPr>
          <w:rFonts w:ascii="Arial" w:hAnsi="Arial" w:cs="Arial"/>
          <w:bCs/>
          <w:sz w:val="20"/>
          <w:szCs w:val="20"/>
        </w:rPr>
        <w:t xml:space="preserve">and reasoning </w:t>
      </w:r>
      <w:r>
        <w:rPr>
          <w:rFonts w:ascii="Arial" w:hAnsi="Arial" w:cs="Arial"/>
          <w:bCs/>
          <w:sz w:val="20"/>
          <w:szCs w:val="20"/>
        </w:rPr>
        <w:t xml:space="preserve">that there may not be any performance gain for </w:t>
      </w:r>
      <w:r>
        <w:rPr>
          <w:rFonts w:ascii="Arial" w:hAnsi="Arial" w:cs="Arial"/>
          <w:sz w:val="20"/>
          <w:szCs w:val="20"/>
        </w:rPr>
        <w:t>PC1.5 intra-band non-contiguous UL CA as compared to its PC2 counterpar</w:t>
      </w:r>
      <w:r w:rsidR="00885446">
        <w:rPr>
          <w:rFonts w:ascii="Arial" w:hAnsi="Arial" w:cs="Arial"/>
          <w:sz w:val="20"/>
          <w:szCs w:val="20"/>
        </w:rPr>
        <w:t>t was based on the observation of comparable MPR values between the PC2 and PC3 requirements as summarized in Table 2-1.</w:t>
      </w:r>
    </w:p>
    <w:p w14:paraId="481A8705" w14:textId="77777777" w:rsidR="00885446" w:rsidRDefault="00885446" w:rsidP="00885446">
      <w:pPr>
        <w:jc w:val="both"/>
        <w:rPr>
          <w:rFonts w:ascii="Arial" w:hAnsi="Arial" w:cs="Arial"/>
          <w:sz w:val="20"/>
          <w:szCs w:val="20"/>
        </w:rPr>
      </w:pPr>
    </w:p>
    <w:p w14:paraId="16D18F74" w14:textId="77777777" w:rsidR="005A23AD" w:rsidRDefault="00885446" w:rsidP="008C6C3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PC3 intra-band non-contiguous UL CA with </w:t>
      </w:r>
      <w:r w:rsidR="009D6EC2" w:rsidRPr="009D6EC2">
        <w:rPr>
          <w:rFonts w:ascii="Arial" w:hAnsi="Arial" w:cs="Arial"/>
          <w:i/>
          <w:iCs/>
          <w:sz w:val="20"/>
          <w:szCs w:val="20"/>
        </w:rPr>
        <w:t>dualPA-Architecture</w:t>
      </w:r>
      <w:r w:rsidR="009D6EC2">
        <w:rPr>
          <w:rFonts w:ascii="Arial" w:hAnsi="Arial" w:cs="Arial"/>
          <w:sz w:val="20"/>
          <w:szCs w:val="20"/>
        </w:rPr>
        <w:t xml:space="preserve">, there should be no doubt that the MPR requirements had been evaluated based on (PC3 + PC3) PA configuration where each PA would back off by 3 dB under PC3 maximum output power. </w:t>
      </w:r>
      <w:r w:rsidR="00942993">
        <w:rPr>
          <w:rFonts w:ascii="Arial" w:hAnsi="Arial" w:cs="Arial"/>
          <w:sz w:val="20"/>
          <w:szCs w:val="20"/>
        </w:rPr>
        <w:t>On the other hand</w:t>
      </w:r>
      <w:r w:rsidR="009D6EC2">
        <w:rPr>
          <w:rFonts w:ascii="Arial" w:hAnsi="Arial" w:cs="Arial"/>
          <w:sz w:val="20"/>
          <w:szCs w:val="20"/>
        </w:rPr>
        <w:t xml:space="preserve">, for PC2 intra-band non-contiguous UL CA with </w:t>
      </w:r>
      <w:r w:rsidR="009D6EC2" w:rsidRPr="009D6EC2">
        <w:rPr>
          <w:rFonts w:ascii="Arial" w:hAnsi="Arial" w:cs="Arial"/>
          <w:i/>
          <w:iCs/>
          <w:sz w:val="20"/>
          <w:szCs w:val="20"/>
        </w:rPr>
        <w:t>dualPA-Architecture</w:t>
      </w:r>
      <w:r w:rsidR="009D6EC2">
        <w:rPr>
          <w:rFonts w:ascii="Arial" w:hAnsi="Arial" w:cs="Arial"/>
          <w:sz w:val="20"/>
          <w:szCs w:val="20"/>
        </w:rPr>
        <w:t>, the PA configuration could potentially be (PC3 + PC3)</w:t>
      </w:r>
      <w:r w:rsidR="00CB7EFC">
        <w:rPr>
          <w:rFonts w:ascii="Arial" w:hAnsi="Arial" w:cs="Arial"/>
          <w:sz w:val="20"/>
          <w:szCs w:val="20"/>
        </w:rPr>
        <w:t>, (P</w:t>
      </w:r>
      <w:r w:rsidR="00942993">
        <w:rPr>
          <w:rFonts w:ascii="Arial" w:hAnsi="Arial" w:cs="Arial"/>
          <w:sz w:val="20"/>
          <w:szCs w:val="20"/>
        </w:rPr>
        <w:t>C</w:t>
      </w:r>
      <w:r w:rsidR="00CB7EFC">
        <w:rPr>
          <w:rFonts w:ascii="Arial" w:hAnsi="Arial" w:cs="Arial"/>
          <w:sz w:val="20"/>
          <w:szCs w:val="20"/>
        </w:rPr>
        <w:t xml:space="preserve">3 + PC2), or (PC2 + PC2). Since (PC3 + PC3) is the PA configuration for PC3 MPR requirements, if the same PA configuration is applied </w:t>
      </w:r>
      <w:r w:rsidR="00CB7EFC">
        <w:rPr>
          <w:rFonts w:ascii="Arial" w:hAnsi="Arial" w:cs="Arial"/>
          <w:sz w:val="20"/>
          <w:szCs w:val="20"/>
        </w:rPr>
        <w:lastRenderedPageBreak/>
        <w:t xml:space="preserve">for PC2, we would expect 3dB higher MPR </w:t>
      </w:r>
      <w:r w:rsidR="00942993">
        <w:rPr>
          <w:rFonts w:ascii="Arial" w:hAnsi="Arial" w:cs="Arial"/>
          <w:sz w:val="20"/>
          <w:szCs w:val="20"/>
        </w:rPr>
        <w:t>than PC3. However, this is not the case as observed in Table 2-1 where the MPR values are quite comparable between PC2 and PC3.</w:t>
      </w:r>
    </w:p>
    <w:p w14:paraId="5BCC9FFB" w14:textId="6A92A505" w:rsidR="00774D15" w:rsidRDefault="00942993" w:rsidP="005A23AD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728"/>
        <w:gridCol w:w="1152"/>
        <w:gridCol w:w="1728"/>
        <w:gridCol w:w="1152"/>
      </w:tblGrid>
      <w:tr w:rsidR="005A23AD" w:rsidRPr="006015D4" w14:paraId="693D786A" w14:textId="77777777" w:rsidTr="006445CA">
        <w:trPr>
          <w:trHeight w:val="288"/>
          <w:jc w:val="center"/>
        </w:trPr>
        <w:tc>
          <w:tcPr>
            <w:tcW w:w="2880" w:type="dxa"/>
            <w:gridSpan w:val="2"/>
            <w:vAlign w:val="center"/>
          </w:tcPr>
          <w:p w14:paraId="147E731B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sz w:val="18"/>
                <w:szCs w:val="18"/>
              </w:rPr>
              <w:t>PC3</w:t>
            </w:r>
          </w:p>
        </w:tc>
        <w:tc>
          <w:tcPr>
            <w:tcW w:w="2880" w:type="dxa"/>
            <w:gridSpan w:val="2"/>
            <w:vAlign w:val="center"/>
          </w:tcPr>
          <w:p w14:paraId="52129485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PC2</w:t>
            </w:r>
          </w:p>
        </w:tc>
      </w:tr>
      <w:tr w:rsidR="005A23AD" w:rsidRPr="006015D4" w14:paraId="218AD805" w14:textId="77777777" w:rsidTr="006445CA">
        <w:trPr>
          <w:trHeight w:val="288"/>
          <w:jc w:val="center"/>
        </w:trPr>
        <w:tc>
          <w:tcPr>
            <w:tcW w:w="1728" w:type="dxa"/>
            <w:vAlign w:val="center"/>
          </w:tcPr>
          <w:p w14:paraId="7641698C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sz w:val="18"/>
                <w:szCs w:val="18"/>
              </w:rPr>
              <w:t>B (MHz)</w:t>
            </w:r>
          </w:p>
        </w:tc>
        <w:tc>
          <w:tcPr>
            <w:tcW w:w="1152" w:type="dxa"/>
            <w:vAlign w:val="center"/>
          </w:tcPr>
          <w:p w14:paraId="467B2768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sz w:val="18"/>
                <w:szCs w:val="18"/>
              </w:rPr>
              <w:t>MPR</w:t>
            </w:r>
            <w:r>
              <w:rPr>
                <w:rFonts w:ascii="Arial" w:hAnsi="Arial" w:cs="Arial"/>
                <w:sz w:val="18"/>
                <w:szCs w:val="18"/>
              </w:rPr>
              <w:t xml:space="preserve"> (dB)</w:t>
            </w:r>
          </w:p>
        </w:tc>
        <w:tc>
          <w:tcPr>
            <w:tcW w:w="1728" w:type="dxa"/>
            <w:vAlign w:val="center"/>
          </w:tcPr>
          <w:p w14:paraId="7DA38AE2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sz w:val="18"/>
                <w:szCs w:val="18"/>
              </w:rPr>
              <w:t>B (MHz)</w:t>
            </w:r>
          </w:p>
        </w:tc>
        <w:tc>
          <w:tcPr>
            <w:tcW w:w="1152" w:type="dxa"/>
            <w:vAlign w:val="center"/>
          </w:tcPr>
          <w:p w14:paraId="0613F299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sz w:val="18"/>
                <w:szCs w:val="18"/>
              </w:rPr>
              <w:t>MPR</w:t>
            </w:r>
            <w:r>
              <w:rPr>
                <w:rFonts w:ascii="Arial" w:hAnsi="Arial" w:cs="Arial"/>
                <w:sz w:val="18"/>
                <w:szCs w:val="18"/>
              </w:rPr>
              <w:t xml:space="preserve"> (dB)</w:t>
            </w:r>
          </w:p>
        </w:tc>
      </w:tr>
      <w:tr w:rsidR="005A23AD" w:rsidRPr="006015D4" w14:paraId="48558C1D" w14:textId="77777777" w:rsidTr="006445CA">
        <w:trPr>
          <w:trHeight w:val="288"/>
          <w:jc w:val="center"/>
        </w:trPr>
        <w:tc>
          <w:tcPr>
            <w:tcW w:w="1728" w:type="dxa"/>
            <w:vAlign w:val="center"/>
          </w:tcPr>
          <w:p w14:paraId="668DFBD9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0 ≤ B &lt; 1.08</w:t>
            </w:r>
          </w:p>
        </w:tc>
        <w:tc>
          <w:tcPr>
            <w:tcW w:w="1152" w:type="dxa"/>
            <w:vAlign w:val="center"/>
          </w:tcPr>
          <w:p w14:paraId="7003B156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  <w:tc>
          <w:tcPr>
            <w:tcW w:w="1728" w:type="dxa"/>
            <w:vAlign w:val="center"/>
          </w:tcPr>
          <w:p w14:paraId="58B71399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0 ≤ B &lt; 1.44</w:t>
            </w:r>
          </w:p>
        </w:tc>
        <w:tc>
          <w:tcPr>
            <w:tcW w:w="1152" w:type="dxa"/>
            <w:vAlign w:val="center"/>
          </w:tcPr>
          <w:p w14:paraId="0277A908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15.5</w:t>
            </w:r>
          </w:p>
        </w:tc>
      </w:tr>
      <w:tr w:rsidR="005A23AD" w:rsidRPr="006015D4" w14:paraId="3BC5B016" w14:textId="77777777" w:rsidTr="006445CA">
        <w:trPr>
          <w:trHeight w:val="288"/>
          <w:jc w:val="center"/>
        </w:trPr>
        <w:tc>
          <w:tcPr>
            <w:tcW w:w="1728" w:type="dxa"/>
            <w:vAlign w:val="center"/>
          </w:tcPr>
          <w:p w14:paraId="14ED0E9A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1.08 ≤ B &lt; 2.16</w:t>
            </w:r>
          </w:p>
        </w:tc>
        <w:tc>
          <w:tcPr>
            <w:tcW w:w="1152" w:type="dxa"/>
            <w:vAlign w:val="center"/>
          </w:tcPr>
          <w:p w14:paraId="6555EA28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14.5</w:t>
            </w:r>
          </w:p>
        </w:tc>
        <w:tc>
          <w:tcPr>
            <w:tcW w:w="1728" w:type="dxa"/>
            <w:vAlign w:val="center"/>
          </w:tcPr>
          <w:p w14:paraId="2C04F3EC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1.44 ≤ B &lt; 2.88</w:t>
            </w:r>
          </w:p>
        </w:tc>
        <w:tc>
          <w:tcPr>
            <w:tcW w:w="1152" w:type="dxa"/>
            <w:vAlign w:val="center"/>
          </w:tcPr>
          <w:p w14:paraId="550E7415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15.0</w:t>
            </w:r>
          </w:p>
        </w:tc>
      </w:tr>
      <w:tr w:rsidR="005A23AD" w:rsidRPr="006015D4" w14:paraId="4DEE1145" w14:textId="77777777" w:rsidTr="006445CA">
        <w:trPr>
          <w:trHeight w:val="288"/>
          <w:jc w:val="center"/>
        </w:trPr>
        <w:tc>
          <w:tcPr>
            <w:tcW w:w="1728" w:type="dxa"/>
            <w:vAlign w:val="center"/>
          </w:tcPr>
          <w:p w14:paraId="2A01020D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2.16 ≤ B &lt; 3.24</w:t>
            </w:r>
          </w:p>
        </w:tc>
        <w:tc>
          <w:tcPr>
            <w:tcW w:w="1152" w:type="dxa"/>
            <w:vAlign w:val="center"/>
          </w:tcPr>
          <w:p w14:paraId="03B88032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13.5</w:t>
            </w:r>
          </w:p>
        </w:tc>
        <w:tc>
          <w:tcPr>
            <w:tcW w:w="1728" w:type="dxa"/>
            <w:vAlign w:val="center"/>
          </w:tcPr>
          <w:p w14:paraId="581ABEFA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2.88 ≤ B &lt; 5.76</w:t>
            </w:r>
          </w:p>
        </w:tc>
        <w:tc>
          <w:tcPr>
            <w:tcW w:w="1152" w:type="dxa"/>
            <w:vAlign w:val="center"/>
          </w:tcPr>
          <w:p w14:paraId="151D5B3C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</w:tr>
      <w:tr w:rsidR="005A23AD" w:rsidRPr="006015D4" w14:paraId="79827686" w14:textId="77777777" w:rsidTr="006445CA">
        <w:trPr>
          <w:trHeight w:val="288"/>
          <w:jc w:val="center"/>
        </w:trPr>
        <w:tc>
          <w:tcPr>
            <w:tcW w:w="1728" w:type="dxa"/>
            <w:vAlign w:val="center"/>
          </w:tcPr>
          <w:p w14:paraId="41195F2E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3.24 ≤ B &lt; 5.04</w:t>
            </w:r>
          </w:p>
        </w:tc>
        <w:tc>
          <w:tcPr>
            <w:tcW w:w="1152" w:type="dxa"/>
            <w:vAlign w:val="center"/>
          </w:tcPr>
          <w:p w14:paraId="05653CC2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12.5</w:t>
            </w:r>
          </w:p>
        </w:tc>
        <w:tc>
          <w:tcPr>
            <w:tcW w:w="1728" w:type="dxa"/>
            <w:vAlign w:val="center"/>
          </w:tcPr>
          <w:p w14:paraId="17D8982D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5.76 ≤ B &lt; 10.8</w:t>
            </w:r>
          </w:p>
        </w:tc>
        <w:tc>
          <w:tcPr>
            <w:tcW w:w="1152" w:type="dxa"/>
            <w:vAlign w:val="center"/>
          </w:tcPr>
          <w:p w14:paraId="6B52A493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12.0</w:t>
            </w:r>
          </w:p>
        </w:tc>
      </w:tr>
      <w:tr w:rsidR="005A23AD" w:rsidRPr="006015D4" w14:paraId="136227DC" w14:textId="77777777" w:rsidTr="006445CA">
        <w:trPr>
          <w:trHeight w:val="288"/>
          <w:jc w:val="center"/>
        </w:trPr>
        <w:tc>
          <w:tcPr>
            <w:tcW w:w="1728" w:type="dxa"/>
            <w:vAlign w:val="center"/>
          </w:tcPr>
          <w:p w14:paraId="1D09F522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5.04≤ B &lt; 10.08</w:t>
            </w:r>
          </w:p>
        </w:tc>
        <w:tc>
          <w:tcPr>
            <w:tcW w:w="1152" w:type="dxa"/>
            <w:vAlign w:val="center"/>
          </w:tcPr>
          <w:p w14:paraId="220DD5F9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11.5</w:t>
            </w:r>
          </w:p>
        </w:tc>
        <w:tc>
          <w:tcPr>
            <w:tcW w:w="1728" w:type="dxa"/>
            <w:vAlign w:val="center"/>
          </w:tcPr>
          <w:p w14:paraId="07D662EA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10.8 ≤ B &lt; 23.04</w:t>
            </w:r>
          </w:p>
        </w:tc>
        <w:tc>
          <w:tcPr>
            <w:tcW w:w="1152" w:type="dxa"/>
            <w:vAlign w:val="center"/>
          </w:tcPr>
          <w:p w14:paraId="469D59FD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</w:tr>
      <w:tr w:rsidR="005A23AD" w:rsidRPr="006015D4" w14:paraId="4175E354" w14:textId="77777777" w:rsidTr="006445CA">
        <w:trPr>
          <w:trHeight w:val="288"/>
          <w:jc w:val="center"/>
        </w:trPr>
        <w:tc>
          <w:tcPr>
            <w:tcW w:w="1728" w:type="dxa"/>
            <w:vAlign w:val="center"/>
          </w:tcPr>
          <w:p w14:paraId="379FDBCB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10.08 ≤ B &lt; 16.38</w:t>
            </w:r>
          </w:p>
        </w:tc>
        <w:tc>
          <w:tcPr>
            <w:tcW w:w="1152" w:type="dxa"/>
            <w:vAlign w:val="center"/>
          </w:tcPr>
          <w:p w14:paraId="0ABFCF6B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10.5</w:t>
            </w:r>
          </w:p>
        </w:tc>
        <w:tc>
          <w:tcPr>
            <w:tcW w:w="1728" w:type="dxa"/>
            <w:vAlign w:val="center"/>
          </w:tcPr>
          <w:p w14:paraId="7B84F916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23.04 ≤ B</w:t>
            </w:r>
          </w:p>
        </w:tc>
        <w:tc>
          <w:tcPr>
            <w:tcW w:w="1152" w:type="dxa"/>
            <w:vAlign w:val="center"/>
          </w:tcPr>
          <w:p w14:paraId="3754AA31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</w:tr>
      <w:tr w:rsidR="005A23AD" w:rsidRPr="006015D4" w14:paraId="72E54175" w14:textId="77777777" w:rsidTr="006445CA">
        <w:trPr>
          <w:trHeight w:val="288"/>
          <w:jc w:val="center"/>
        </w:trPr>
        <w:tc>
          <w:tcPr>
            <w:tcW w:w="1728" w:type="dxa"/>
            <w:vAlign w:val="center"/>
          </w:tcPr>
          <w:p w14:paraId="629EE03C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16.38 ≤ B &lt; 21.78</w:t>
            </w:r>
          </w:p>
        </w:tc>
        <w:tc>
          <w:tcPr>
            <w:tcW w:w="1152" w:type="dxa"/>
            <w:vAlign w:val="center"/>
          </w:tcPr>
          <w:p w14:paraId="040D4C05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10.0</w:t>
            </w:r>
          </w:p>
        </w:tc>
        <w:tc>
          <w:tcPr>
            <w:tcW w:w="1728" w:type="dxa"/>
            <w:vAlign w:val="center"/>
          </w:tcPr>
          <w:p w14:paraId="0D2A16B7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 w14:paraId="22B6151E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23AD" w:rsidRPr="006015D4" w14:paraId="1AFE1F40" w14:textId="77777777" w:rsidTr="006445CA">
        <w:trPr>
          <w:trHeight w:val="288"/>
          <w:jc w:val="center"/>
        </w:trPr>
        <w:tc>
          <w:tcPr>
            <w:tcW w:w="1728" w:type="dxa"/>
            <w:vAlign w:val="center"/>
          </w:tcPr>
          <w:p w14:paraId="600D112D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21.78 ≤ B</w:t>
            </w:r>
          </w:p>
        </w:tc>
        <w:tc>
          <w:tcPr>
            <w:tcW w:w="1152" w:type="dxa"/>
            <w:vAlign w:val="center"/>
          </w:tcPr>
          <w:p w14:paraId="7058C5EF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6015D4">
              <w:rPr>
                <w:rFonts w:ascii="Arial" w:hAnsi="Arial" w:cs="Arial"/>
                <w:color w:val="000000"/>
                <w:sz w:val="18"/>
                <w:szCs w:val="18"/>
              </w:rPr>
              <w:t>9.0</w:t>
            </w:r>
          </w:p>
        </w:tc>
        <w:tc>
          <w:tcPr>
            <w:tcW w:w="1728" w:type="dxa"/>
            <w:vAlign w:val="center"/>
          </w:tcPr>
          <w:p w14:paraId="18AE52D2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52" w:type="dxa"/>
            <w:vAlign w:val="center"/>
          </w:tcPr>
          <w:p w14:paraId="72ABF277" w14:textId="77777777" w:rsidR="005A23AD" w:rsidRPr="006015D4" w:rsidRDefault="005A23AD" w:rsidP="006445C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A23AD" w:rsidRPr="006015D4" w14:paraId="0BEF3FD5" w14:textId="77777777" w:rsidTr="00584B7D">
        <w:trPr>
          <w:trHeight w:val="288"/>
          <w:jc w:val="center"/>
        </w:trPr>
        <w:tc>
          <w:tcPr>
            <w:tcW w:w="5760" w:type="dxa"/>
            <w:gridSpan w:val="4"/>
            <w:vAlign w:val="center"/>
          </w:tcPr>
          <w:p w14:paraId="688330AD" w14:textId="52C5F047" w:rsidR="005A23AD" w:rsidRPr="006015D4" w:rsidRDefault="005A23AD" w:rsidP="005A23AD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NOTE: </w:t>
            </w:r>
            <w:r w:rsidRPr="002774E4">
              <w:rPr>
                <w:rFonts w:ascii="Arial" w:hAnsi="Arial" w:cs="Arial"/>
                <w:sz w:val="18"/>
                <w:szCs w:val="18"/>
              </w:rPr>
              <w:t>B is the effective aggregated bandwidth in MHz</w:t>
            </w:r>
          </w:p>
        </w:tc>
      </w:tr>
    </w:tbl>
    <w:p w14:paraId="44EFB21D" w14:textId="77777777" w:rsidR="00774D15" w:rsidRDefault="00774D15" w:rsidP="005A23AD">
      <w:pPr>
        <w:jc w:val="both"/>
        <w:rPr>
          <w:rFonts w:ascii="Arial" w:hAnsi="Arial" w:cs="Arial"/>
          <w:sz w:val="20"/>
          <w:szCs w:val="20"/>
        </w:rPr>
      </w:pPr>
    </w:p>
    <w:p w14:paraId="290AEBC2" w14:textId="0535D046" w:rsidR="00774D15" w:rsidRDefault="005A23AD" w:rsidP="005A23AD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A4171A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>2</w:t>
      </w:r>
      <w:r w:rsidRPr="00A4171A">
        <w:rPr>
          <w:rFonts w:ascii="Arial" w:hAnsi="Arial" w:cs="Arial"/>
          <w:b/>
          <w:bCs/>
          <w:sz w:val="20"/>
          <w:szCs w:val="20"/>
        </w:rPr>
        <w:t xml:space="preserve">-1 </w:t>
      </w:r>
      <w:r>
        <w:rPr>
          <w:rFonts w:ascii="Arial" w:hAnsi="Arial" w:cs="Arial"/>
          <w:b/>
          <w:bCs/>
          <w:sz w:val="20"/>
          <w:szCs w:val="20"/>
        </w:rPr>
        <w:t>MPR requirements for intra-band NC UL CA with dualPA for -30dBm/MHz emission</w:t>
      </w:r>
    </w:p>
    <w:p w14:paraId="653BD993" w14:textId="77777777" w:rsidR="005A23AD" w:rsidRDefault="005A23AD" w:rsidP="005A23AD">
      <w:pPr>
        <w:jc w:val="both"/>
        <w:rPr>
          <w:rFonts w:ascii="Arial" w:hAnsi="Arial" w:cs="Arial"/>
          <w:sz w:val="20"/>
          <w:szCs w:val="20"/>
        </w:rPr>
      </w:pPr>
    </w:p>
    <w:p w14:paraId="292CD6B9" w14:textId="06A7AA1D" w:rsidR="00802CC2" w:rsidRDefault="00802CC2" w:rsidP="008C6C3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C58C3">
        <w:rPr>
          <w:rFonts w:ascii="Arial" w:hAnsi="Arial" w:cs="Arial"/>
          <w:b/>
          <w:i/>
          <w:iCs/>
          <w:sz w:val="20"/>
          <w:szCs w:val="20"/>
        </w:rPr>
        <w:t>Observation 1</w:t>
      </w:r>
      <w:r w:rsidRPr="009C58C3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Pr="00802CC2">
        <w:rPr>
          <w:rFonts w:ascii="Arial" w:hAnsi="Arial" w:cs="Arial"/>
          <w:bCs/>
          <w:i/>
          <w:iCs/>
          <w:sz w:val="20"/>
          <w:szCs w:val="20"/>
        </w:rPr>
        <w:t>For PC3 intra-band non-contiguous UL CA with dualPA-Architecture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, MPR has been specified based on (PC3 + PC3) PA configuration. </w:t>
      </w:r>
    </w:p>
    <w:p w14:paraId="15771A8E" w14:textId="77777777" w:rsidR="00802CC2" w:rsidRDefault="00802CC2" w:rsidP="00802CC2">
      <w:pPr>
        <w:jc w:val="both"/>
        <w:rPr>
          <w:rFonts w:ascii="Arial" w:hAnsi="Arial" w:cs="Arial"/>
          <w:sz w:val="20"/>
          <w:szCs w:val="20"/>
        </w:rPr>
      </w:pPr>
    </w:p>
    <w:p w14:paraId="7D627056" w14:textId="2A05A11F" w:rsidR="00802CC2" w:rsidRDefault="00802CC2" w:rsidP="008C6C35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C58C3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2</w:t>
      </w:r>
      <w:r w:rsidRPr="009C58C3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F</w:t>
      </w:r>
      <w:r w:rsidRPr="00802CC2">
        <w:rPr>
          <w:rFonts w:ascii="Arial" w:hAnsi="Arial" w:cs="Arial"/>
          <w:bCs/>
          <w:i/>
          <w:iCs/>
          <w:sz w:val="20"/>
          <w:szCs w:val="20"/>
        </w:rPr>
        <w:t>or PC2 intra-band non-contiguous UL CA with dualPA-Architecture, the PA configuration could potentially be (PC3 + PC3), (PC3 + PC2), or (PC2 + PC2).</w:t>
      </w:r>
    </w:p>
    <w:p w14:paraId="6EDDB5F8" w14:textId="77777777" w:rsidR="00802CC2" w:rsidRDefault="00802CC2" w:rsidP="00802CC2">
      <w:pPr>
        <w:jc w:val="both"/>
        <w:rPr>
          <w:rFonts w:ascii="Arial" w:hAnsi="Arial" w:cs="Arial"/>
          <w:sz w:val="20"/>
          <w:szCs w:val="20"/>
        </w:rPr>
      </w:pPr>
    </w:p>
    <w:p w14:paraId="2BE762B5" w14:textId="18B18F93" w:rsidR="00041F2A" w:rsidRDefault="00942993" w:rsidP="008C6C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For (PC3 + PC2) PA configuration, though the PC2 PA is more linear, the MPR would be dominated by the emission from </w:t>
      </w:r>
      <w:r w:rsidR="00774D15">
        <w:rPr>
          <w:rFonts w:ascii="Arial" w:hAnsi="Arial" w:cs="Arial"/>
          <w:sz w:val="20"/>
          <w:szCs w:val="20"/>
        </w:rPr>
        <w:t>the PC3 PA</w:t>
      </w:r>
      <w:r w:rsidR="00E177DE">
        <w:rPr>
          <w:rFonts w:ascii="Arial" w:hAnsi="Arial" w:cs="Arial"/>
          <w:sz w:val="20"/>
          <w:szCs w:val="20"/>
        </w:rPr>
        <w:t xml:space="preserve">. </w:t>
      </w:r>
      <w:r w:rsidR="00A2507D">
        <w:rPr>
          <w:rFonts w:ascii="Arial" w:hAnsi="Arial" w:cs="Arial"/>
          <w:sz w:val="20"/>
          <w:szCs w:val="20"/>
        </w:rPr>
        <w:t>Using a conceptual 2-tone IMD3 analysis as illustrated in Figure 2-1, it can be seen that</w:t>
      </w:r>
      <w:r w:rsidR="001341D4">
        <w:rPr>
          <w:rFonts w:ascii="Arial" w:hAnsi="Arial" w:cs="Arial"/>
          <w:sz w:val="20"/>
          <w:szCs w:val="20"/>
        </w:rPr>
        <w:t xml:space="preserve"> the IMD3 power level at (2f</w:t>
      </w:r>
      <w:r w:rsidR="001B4701">
        <w:rPr>
          <w:rFonts w:ascii="Arial" w:hAnsi="Arial" w:cs="Arial"/>
          <w:sz w:val="20"/>
          <w:szCs w:val="20"/>
          <w:vertAlign w:val="subscript"/>
        </w:rPr>
        <w:t>CC</w:t>
      </w:r>
      <w:r w:rsidR="001341D4" w:rsidRPr="001B4701">
        <w:rPr>
          <w:rFonts w:ascii="Arial" w:hAnsi="Arial" w:cs="Arial"/>
          <w:sz w:val="20"/>
          <w:szCs w:val="20"/>
          <w:vertAlign w:val="subscript"/>
        </w:rPr>
        <w:t>1</w:t>
      </w:r>
      <w:r w:rsidR="001341D4">
        <w:rPr>
          <w:rFonts w:ascii="Arial" w:hAnsi="Arial" w:cs="Arial"/>
          <w:sz w:val="20"/>
          <w:szCs w:val="20"/>
        </w:rPr>
        <w:t xml:space="preserve"> – f</w:t>
      </w:r>
      <w:r w:rsidR="001B4701">
        <w:rPr>
          <w:rFonts w:ascii="Arial" w:hAnsi="Arial" w:cs="Arial"/>
          <w:sz w:val="20"/>
          <w:szCs w:val="20"/>
          <w:vertAlign w:val="subscript"/>
        </w:rPr>
        <w:t>CC</w:t>
      </w:r>
      <w:r w:rsidR="001341D4" w:rsidRPr="001B4701">
        <w:rPr>
          <w:rFonts w:ascii="Arial" w:hAnsi="Arial" w:cs="Arial"/>
          <w:sz w:val="20"/>
          <w:szCs w:val="20"/>
          <w:vertAlign w:val="subscript"/>
        </w:rPr>
        <w:t>2</w:t>
      </w:r>
      <w:r w:rsidR="001341D4">
        <w:rPr>
          <w:rFonts w:ascii="Arial" w:hAnsi="Arial" w:cs="Arial"/>
          <w:sz w:val="20"/>
          <w:szCs w:val="20"/>
        </w:rPr>
        <w:t xml:space="preserve">) for (PC2 + PC3) PA configuration would be lower than that of (PC3 + PC3) PA configuration under the same total output power, owing to the better linearity </w:t>
      </w:r>
      <w:r w:rsidR="00702C8C">
        <w:rPr>
          <w:rFonts w:ascii="Arial" w:hAnsi="Arial" w:cs="Arial"/>
          <w:sz w:val="20"/>
          <w:szCs w:val="20"/>
        </w:rPr>
        <w:t>of</w:t>
      </w:r>
      <w:r w:rsidR="001341D4">
        <w:rPr>
          <w:rFonts w:ascii="Arial" w:hAnsi="Arial" w:cs="Arial"/>
          <w:sz w:val="20"/>
          <w:szCs w:val="20"/>
        </w:rPr>
        <w:t xml:space="preserve"> P</w:t>
      </w:r>
      <w:r w:rsidR="00C86FF3">
        <w:rPr>
          <w:rFonts w:ascii="Arial" w:hAnsi="Arial" w:cs="Arial"/>
          <w:sz w:val="20"/>
          <w:szCs w:val="20"/>
        </w:rPr>
        <w:t>C2 PA</w:t>
      </w:r>
      <w:r w:rsidR="001341D4">
        <w:rPr>
          <w:rFonts w:ascii="Arial" w:hAnsi="Arial" w:cs="Arial"/>
          <w:sz w:val="20"/>
          <w:szCs w:val="20"/>
        </w:rPr>
        <w:t>. However, the IMD3 power at (2f</w:t>
      </w:r>
      <w:r w:rsidR="001B4701">
        <w:rPr>
          <w:rFonts w:ascii="Arial" w:hAnsi="Arial" w:cs="Arial"/>
          <w:sz w:val="20"/>
          <w:szCs w:val="20"/>
          <w:vertAlign w:val="subscript"/>
        </w:rPr>
        <w:t>CC</w:t>
      </w:r>
      <w:r w:rsidR="001341D4" w:rsidRPr="001B4701">
        <w:rPr>
          <w:rFonts w:ascii="Arial" w:hAnsi="Arial" w:cs="Arial"/>
          <w:sz w:val="20"/>
          <w:szCs w:val="20"/>
          <w:vertAlign w:val="subscript"/>
        </w:rPr>
        <w:t>2</w:t>
      </w:r>
      <w:r w:rsidR="001341D4">
        <w:rPr>
          <w:rFonts w:ascii="Arial" w:hAnsi="Arial" w:cs="Arial"/>
          <w:sz w:val="20"/>
          <w:szCs w:val="20"/>
        </w:rPr>
        <w:t xml:space="preserve"> – f</w:t>
      </w:r>
      <w:r w:rsidR="001B4701">
        <w:rPr>
          <w:rFonts w:ascii="Arial" w:hAnsi="Arial" w:cs="Arial"/>
          <w:sz w:val="20"/>
          <w:szCs w:val="20"/>
          <w:vertAlign w:val="subscript"/>
        </w:rPr>
        <w:t>CC</w:t>
      </w:r>
      <w:r w:rsidR="001341D4" w:rsidRPr="001B4701">
        <w:rPr>
          <w:rFonts w:ascii="Arial" w:hAnsi="Arial" w:cs="Arial"/>
          <w:sz w:val="20"/>
          <w:szCs w:val="20"/>
          <w:vertAlign w:val="subscript"/>
        </w:rPr>
        <w:t>1</w:t>
      </w:r>
      <w:r w:rsidR="001341D4">
        <w:rPr>
          <w:rFonts w:ascii="Arial" w:hAnsi="Arial" w:cs="Arial"/>
          <w:sz w:val="20"/>
          <w:szCs w:val="20"/>
        </w:rPr>
        <w:t xml:space="preserve">) would be the same between (PC2 + PC3) and (PC3 + PC3) PA configurations under the same total output power.  </w:t>
      </w:r>
      <w:r w:rsidR="00A2507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</w:t>
      </w:r>
      <w:r w:rsidR="00CB7EFC">
        <w:rPr>
          <w:rFonts w:ascii="Arial" w:hAnsi="Arial" w:cs="Arial"/>
          <w:sz w:val="20"/>
          <w:szCs w:val="20"/>
        </w:rPr>
        <w:t xml:space="preserve"> </w:t>
      </w:r>
      <w:r w:rsidR="009D6EC2">
        <w:rPr>
          <w:rFonts w:ascii="Arial" w:hAnsi="Arial" w:cs="Arial"/>
          <w:sz w:val="20"/>
          <w:szCs w:val="20"/>
        </w:rPr>
        <w:t xml:space="preserve"> </w:t>
      </w:r>
      <w:r w:rsidR="00885446">
        <w:rPr>
          <w:rFonts w:ascii="Arial" w:hAnsi="Arial" w:cs="Arial"/>
          <w:sz w:val="20"/>
          <w:szCs w:val="20"/>
        </w:rPr>
        <w:t xml:space="preserve">  </w:t>
      </w:r>
      <w:r w:rsidR="006F5CB7">
        <w:rPr>
          <w:rFonts w:ascii="Arial" w:hAnsi="Arial" w:cs="Arial"/>
          <w:bCs/>
          <w:sz w:val="20"/>
          <w:szCs w:val="20"/>
        </w:rPr>
        <w:t xml:space="preserve"> </w:t>
      </w:r>
      <w:r w:rsidR="00ED729A">
        <w:rPr>
          <w:rFonts w:ascii="Arial" w:hAnsi="Arial" w:cs="Arial"/>
          <w:bCs/>
          <w:sz w:val="20"/>
          <w:szCs w:val="20"/>
        </w:rPr>
        <w:t xml:space="preserve"> </w:t>
      </w:r>
      <w:r w:rsidR="0002488A">
        <w:rPr>
          <w:rFonts w:ascii="Arial" w:hAnsi="Arial" w:cs="Arial"/>
          <w:bCs/>
          <w:sz w:val="20"/>
          <w:szCs w:val="20"/>
        </w:rPr>
        <w:t xml:space="preserve">  </w:t>
      </w:r>
      <w:r w:rsidR="00295527">
        <w:rPr>
          <w:rFonts w:ascii="Arial" w:hAnsi="Arial" w:cs="Arial"/>
          <w:bCs/>
          <w:sz w:val="20"/>
          <w:szCs w:val="20"/>
        </w:rPr>
        <w:t xml:space="preserve">  </w:t>
      </w:r>
      <w:r w:rsidR="00041F2A">
        <w:rPr>
          <w:rFonts w:ascii="Arial" w:hAnsi="Arial" w:cs="Arial"/>
          <w:bCs/>
          <w:sz w:val="20"/>
          <w:szCs w:val="20"/>
        </w:rPr>
        <w:t xml:space="preserve"> </w:t>
      </w:r>
    </w:p>
    <w:p w14:paraId="50578EE4" w14:textId="77777777" w:rsidR="00041F2A" w:rsidRDefault="00041F2A" w:rsidP="00041F2A">
      <w:pPr>
        <w:jc w:val="both"/>
        <w:rPr>
          <w:rFonts w:ascii="Arial" w:hAnsi="Arial" w:cs="Arial"/>
          <w:bCs/>
          <w:sz w:val="20"/>
          <w:szCs w:val="20"/>
        </w:rPr>
      </w:pPr>
    </w:p>
    <w:p w14:paraId="1F5BCD0D" w14:textId="351E863B" w:rsidR="00E05ABC" w:rsidRDefault="00184EE5" w:rsidP="00BC201E">
      <w:pPr>
        <w:jc w:val="center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noProof/>
          <w:sz w:val="20"/>
          <w:szCs w:val="20"/>
        </w:rPr>
        <w:drawing>
          <wp:inline distT="0" distB="0" distL="0" distR="0" wp14:anchorId="6F104755" wp14:editId="70FC3607">
            <wp:extent cx="4405214" cy="2122873"/>
            <wp:effectExtent l="0" t="0" r="1905" b="0"/>
            <wp:docPr id="328519161" name="Picture 3" descr="A diagram of a diagram of a triangle and a triangle with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8519161" name="Picture 3" descr="A diagram of a diagram of a triangle and a triangle with text&#10;&#10;Description automatically generated with medium confidence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440994" cy="21401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409920" w14:textId="77777777" w:rsidR="00E05ABC" w:rsidRDefault="00E05ABC" w:rsidP="00402A52">
      <w:pPr>
        <w:jc w:val="both"/>
        <w:rPr>
          <w:rFonts w:ascii="Arial" w:hAnsi="Arial" w:cs="Arial"/>
          <w:bCs/>
          <w:sz w:val="20"/>
          <w:szCs w:val="20"/>
        </w:rPr>
      </w:pPr>
    </w:p>
    <w:p w14:paraId="2A1CCC56" w14:textId="4EA44651" w:rsidR="00402A52" w:rsidRPr="008F0C7D" w:rsidRDefault="00402A52" w:rsidP="00402A52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Figure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sz w:val="20"/>
          <w:szCs w:val="20"/>
        </w:rPr>
        <w:t xml:space="preserve">2-1 </w:t>
      </w:r>
      <w:r w:rsidR="00184EE5">
        <w:rPr>
          <w:rFonts w:ascii="Arial" w:hAnsi="Arial" w:cs="Arial"/>
          <w:b/>
          <w:bCs/>
          <w:sz w:val="20"/>
          <w:szCs w:val="20"/>
        </w:rPr>
        <w:t>A</w:t>
      </w:r>
      <w:r w:rsidR="00184EE5" w:rsidRPr="00184EE5">
        <w:rPr>
          <w:rFonts w:ascii="Arial" w:hAnsi="Arial" w:cs="Arial"/>
          <w:b/>
          <w:bCs/>
          <w:sz w:val="20"/>
          <w:szCs w:val="20"/>
        </w:rPr>
        <w:t xml:space="preserve"> conceptual 2-tone IMD3 analysis</w:t>
      </w:r>
      <w:r w:rsidR="00184EE5">
        <w:rPr>
          <w:rFonts w:ascii="Arial" w:hAnsi="Arial" w:cs="Arial"/>
          <w:b/>
          <w:bCs/>
          <w:sz w:val="20"/>
          <w:szCs w:val="20"/>
        </w:rPr>
        <w:t xml:space="preserve"> between (PC3+PC3) and (PC2+PC3) PA configurations</w:t>
      </w:r>
    </w:p>
    <w:p w14:paraId="3C3A3FE1" w14:textId="77777777" w:rsidR="00402A52" w:rsidRDefault="00402A52" w:rsidP="0028039F">
      <w:pPr>
        <w:jc w:val="both"/>
        <w:rPr>
          <w:rFonts w:ascii="Arial" w:hAnsi="Arial" w:cs="Arial"/>
          <w:bCs/>
          <w:sz w:val="20"/>
          <w:szCs w:val="20"/>
        </w:rPr>
      </w:pPr>
    </w:p>
    <w:p w14:paraId="57577B6F" w14:textId="5F2EDAF4" w:rsidR="00C86FF3" w:rsidRDefault="00C86FF3" w:rsidP="00802CC2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Since both sides of the IMD3 need to fulfill the same emission requirement, the MPR is also expected to be the same between (PC3 + PC3) and (PC2 + PC3) PA configurations when both are operating at PC3. However, if (PC2 + PC3) PA configuration is operating at PC2, the MPR would be 3dB higher than PC3. As a result, to have comparable MPR between PC3 and PC2 as </w:t>
      </w:r>
      <w:r>
        <w:rPr>
          <w:rFonts w:ascii="Arial" w:hAnsi="Arial" w:cs="Arial"/>
          <w:sz w:val="20"/>
          <w:szCs w:val="20"/>
        </w:rPr>
        <w:t xml:space="preserve">observed in Table 2-1, the only possible PA </w:t>
      </w:r>
      <w:r w:rsidR="00802CC2">
        <w:rPr>
          <w:rFonts w:ascii="Arial" w:hAnsi="Arial" w:cs="Arial"/>
          <w:sz w:val="20"/>
          <w:szCs w:val="20"/>
        </w:rPr>
        <w:t>configuration for PC2 would be (PC2 + PC2). And that also implies MPR for PC1.5 with (PC2 + PC2) PA configuration would be 3dB higher than PC2 which means there is virtually no performance gain for PC1.5 intra-band NC UL CA as compared to its PC2 counterpart.</w:t>
      </w:r>
    </w:p>
    <w:p w14:paraId="461F7FDE" w14:textId="77777777" w:rsidR="00C86FF3" w:rsidRDefault="00C86FF3" w:rsidP="0028039F">
      <w:pPr>
        <w:jc w:val="both"/>
        <w:rPr>
          <w:rFonts w:ascii="Arial" w:hAnsi="Arial" w:cs="Arial"/>
          <w:bCs/>
          <w:sz w:val="20"/>
          <w:szCs w:val="20"/>
        </w:rPr>
      </w:pPr>
    </w:p>
    <w:p w14:paraId="5EA2885E" w14:textId="3C6EBF0C" w:rsidR="00402A52" w:rsidRPr="009C58C3" w:rsidRDefault="0028039F" w:rsidP="008C6C35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9C58C3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 w:rsidR="00802CC2">
        <w:rPr>
          <w:rFonts w:ascii="Arial" w:hAnsi="Arial" w:cs="Arial"/>
          <w:b/>
          <w:i/>
          <w:iCs/>
          <w:sz w:val="20"/>
          <w:szCs w:val="20"/>
        </w:rPr>
        <w:t>3</w:t>
      </w:r>
      <w:r w:rsidRPr="009C58C3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802CC2" w:rsidRPr="00802CC2">
        <w:rPr>
          <w:rFonts w:ascii="Arial" w:hAnsi="Arial" w:cs="Arial"/>
          <w:bCs/>
          <w:i/>
          <w:iCs/>
          <w:sz w:val="20"/>
          <w:szCs w:val="20"/>
        </w:rPr>
        <w:t>For PC2 intra-band non-contiguous UL CA with dualPA-Architecture</w:t>
      </w:r>
      <w:r w:rsidR="00802CC2">
        <w:rPr>
          <w:rFonts w:ascii="Arial" w:hAnsi="Arial" w:cs="Arial"/>
          <w:bCs/>
          <w:i/>
          <w:iCs/>
          <w:sz w:val="20"/>
          <w:szCs w:val="20"/>
        </w:rPr>
        <w:t xml:space="preserve">, MPR based </w:t>
      </w:r>
      <w:r w:rsidR="00CC56EA">
        <w:rPr>
          <w:rFonts w:ascii="Arial" w:hAnsi="Arial" w:cs="Arial"/>
          <w:bCs/>
          <w:i/>
          <w:iCs/>
          <w:sz w:val="20"/>
          <w:szCs w:val="20"/>
        </w:rPr>
        <w:t xml:space="preserve">on </w:t>
      </w:r>
      <w:r w:rsidR="00802CC2">
        <w:rPr>
          <w:rFonts w:ascii="Arial" w:hAnsi="Arial" w:cs="Arial"/>
          <w:bCs/>
          <w:i/>
          <w:iCs/>
          <w:sz w:val="20"/>
          <w:szCs w:val="20"/>
        </w:rPr>
        <w:t xml:space="preserve">both </w:t>
      </w:r>
      <w:r w:rsidR="000C0BA7">
        <w:rPr>
          <w:rFonts w:ascii="Arial" w:hAnsi="Arial" w:cs="Arial"/>
          <w:bCs/>
          <w:i/>
          <w:iCs/>
          <w:sz w:val="20"/>
          <w:szCs w:val="20"/>
        </w:rPr>
        <w:t xml:space="preserve">(PC3 + PC3) and (PC2 + PC3) PA configurations would be 3dB higher than </w:t>
      </w:r>
      <w:r w:rsidR="00DB0AB1">
        <w:rPr>
          <w:rFonts w:ascii="Arial" w:hAnsi="Arial" w:cs="Arial"/>
          <w:bCs/>
          <w:i/>
          <w:iCs/>
          <w:sz w:val="20"/>
          <w:szCs w:val="20"/>
        </w:rPr>
        <w:t xml:space="preserve">that of </w:t>
      </w:r>
      <w:r w:rsidR="000C0BA7">
        <w:rPr>
          <w:rFonts w:ascii="Arial" w:hAnsi="Arial" w:cs="Arial"/>
          <w:bCs/>
          <w:i/>
          <w:iCs/>
          <w:sz w:val="20"/>
          <w:szCs w:val="20"/>
        </w:rPr>
        <w:t>PC3.</w:t>
      </w:r>
    </w:p>
    <w:p w14:paraId="0AF5C431" w14:textId="77777777" w:rsidR="009C58C3" w:rsidRDefault="009C58C3" w:rsidP="009C58C3">
      <w:pPr>
        <w:jc w:val="both"/>
        <w:rPr>
          <w:rFonts w:ascii="Arial" w:hAnsi="Arial" w:cs="Arial"/>
          <w:bCs/>
          <w:sz w:val="20"/>
          <w:szCs w:val="20"/>
        </w:rPr>
      </w:pPr>
    </w:p>
    <w:p w14:paraId="33505C9B" w14:textId="45C207CB" w:rsidR="009C58C3" w:rsidRPr="009C58C3" w:rsidRDefault="009C58C3" w:rsidP="008C6C35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9C58C3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 w:rsidR="000C0BA7">
        <w:rPr>
          <w:rFonts w:ascii="Arial" w:hAnsi="Arial" w:cs="Arial"/>
          <w:b/>
          <w:i/>
          <w:iCs/>
          <w:sz w:val="20"/>
          <w:szCs w:val="20"/>
        </w:rPr>
        <w:t>4</w:t>
      </w:r>
      <w:r w:rsidRPr="009C58C3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0C0BA7">
        <w:rPr>
          <w:rFonts w:ascii="Arial" w:hAnsi="Arial" w:cs="Arial"/>
          <w:bCs/>
          <w:i/>
          <w:iCs/>
          <w:sz w:val="20"/>
          <w:szCs w:val="20"/>
        </w:rPr>
        <w:t>The</w:t>
      </w:r>
      <w:r w:rsidR="000C0BA7" w:rsidRPr="000C0BA7">
        <w:rPr>
          <w:rFonts w:ascii="Arial" w:hAnsi="Arial" w:cs="Arial"/>
          <w:bCs/>
          <w:i/>
          <w:iCs/>
          <w:sz w:val="20"/>
          <w:szCs w:val="20"/>
        </w:rPr>
        <w:t xml:space="preserve"> comparable MPR </w:t>
      </w:r>
      <w:r w:rsidR="000C0BA7">
        <w:rPr>
          <w:rFonts w:ascii="Arial" w:hAnsi="Arial" w:cs="Arial"/>
          <w:bCs/>
          <w:i/>
          <w:iCs/>
          <w:sz w:val="20"/>
          <w:szCs w:val="20"/>
        </w:rPr>
        <w:t xml:space="preserve">values </w:t>
      </w:r>
      <w:r w:rsidR="000C0BA7" w:rsidRPr="000C0BA7">
        <w:rPr>
          <w:rFonts w:ascii="Arial" w:hAnsi="Arial" w:cs="Arial"/>
          <w:bCs/>
          <w:i/>
          <w:iCs/>
          <w:sz w:val="20"/>
          <w:szCs w:val="20"/>
        </w:rPr>
        <w:t xml:space="preserve">between PC3 and PC2 as </w:t>
      </w:r>
      <w:r w:rsidR="000C0BA7">
        <w:rPr>
          <w:rFonts w:ascii="Arial" w:hAnsi="Arial" w:cs="Arial"/>
          <w:bCs/>
          <w:i/>
          <w:iCs/>
          <w:sz w:val="20"/>
          <w:szCs w:val="20"/>
        </w:rPr>
        <w:t>defined</w:t>
      </w:r>
      <w:r w:rsidR="000C0BA7" w:rsidRPr="000C0BA7">
        <w:rPr>
          <w:rFonts w:ascii="Arial" w:hAnsi="Arial" w:cs="Arial"/>
          <w:bCs/>
          <w:i/>
          <w:iCs/>
          <w:sz w:val="20"/>
          <w:szCs w:val="20"/>
        </w:rPr>
        <w:t xml:space="preserve"> in </w:t>
      </w:r>
      <w:r w:rsidR="000C0BA7">
        <w:rPr>
          <w:rFonts w:ascii="Arial" w:hAnsi="Arial" w:cs="Arial"/>
          <w:bCs/>
          <w:i/>
          <w:iCs/>
          <w:sz w:val="20"/>
          <w:szCs w:val="20"/>
        </w:rPr>
        <w:t>current RAN4 specifications implies that</w:t>
      </w:r>
      <w:r w:rsidR="000C0BA7" w:rsidRPr="000C0BA7">
        <w:rPr>
          <w:rFonts w:ascii="Arial" w:hAnsi="Arial" w:cs="Arial"/>
          <w:bCs/>
          <w:i/>
          <w:iCs/>
          <w:sz w:val="20"/>
          <w:szCs w:val="20"/>
        </w:rPr>
        <w:t xml:space="preserve"> the only possible PA configuration for PC2 would be (PC2 + PC2).</w:t>
      </w:r>
    </w:p>
    <w:p w14:paraId="04427315" w14:textId="77777777" w:rsidR="009C58C3" w:rsidRDefault="009C58C3" w:rsidP="009C58C3">
      <w:pPr>
        <w:jc w:val="both"/>
        <w:rPr>
          <w:rFonts w:ascii="Arial" w:hAnsi="Arial" w:cs="Arial"/>
          <w:bCs/>
          <w:sz w:val="20"/>
          <w:szCs w:val="20"/>
        </w:rPr>
      </w:pPr>
    </w:p>
    <w:p w14:paraId="0007875F" w14:textId="5A8D81E3" w:rsidR="009C58C3" w:rsidRPr="009C58C3" w:rsidRDefault="009C58C3" w:rsidP="008C6C35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9C58C3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 w:rsidR="000C0BA7">
        <w:rPr>
          <w:rFonts w:ascii="Arial" w:hAnsi="Arial" w:cs="Arial"/>
          <w:b/>
          <w:i/>
          <w:iCs/>
          <w:sz w:val="20"/>
          <w:szCs w:val="20"/>
        </w:rPr>
        <w:t>5</w:t>
      </w:r>
      <w:r w:rsidRPr="009C58C3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752EC7">
        <w:rPr>
          <w:rFonts w:ascii="Arial" w:hAnsi="Arial" w:cs="Arial"/>
          <w:bCs/>
          <w:i/>
          <w:iCs/>
          <w:sz w:val="20"/>
          <w:szCs w:val="20"/>
        </w:rPr>
        <w:t xml:space="preserve">As </w:t>
      </w:r>
      <w:r w:rsidR="000C0BA7">
        <w:rPr>
          <w:rFonts w:ascii="Arial" w:hAnsi="Arial" w:cs="Arial"/>
          <w:bCs/>
          <w:i/>
          <w:iCs/>
          <w:sz w:val="20"/>
          <w:szCs w:val="20"/>
        </w:rPr>
        <w:t xml:space="preserve">PC1.5 </w:t>
      </w:r>
      <w:r w:rsidR="000C0BA7" w:rsidRPr="00802CC2">
        <w:rPr>
          <w:rFonts w:ascii="Arial" w:hAnsi="Arial" w:cs="Arial"/>
          <w:bCs/>
          <w:i/>
          <w:iCs/>
          <w:sz w:val="20"/>
          <w:szCs w:val="20"/>
        </w:rPr>
        <w:t>intra-band non-contiguous UL CA with dualPA-Architecture</w:t>
      </w:r>
      <w:r w:rsidR="000C0BA7">
        <w:rPr>
          <w:rFonts w:ascii="Arial" w:hAnsi="Arial" w:cs="Arial"/>
          <w:bCs/>
          <w:i/>
          <w:iCs/>
          <w:sz w:val="20"/>
          <w:szCs w:val="20"/>
        </w:rPr>
        <w:t xml:space="preserve"> would be based on </w:t>
      </w:r>
      <w:r w:rsidR="00752EC7">
        <w:rPr>
          <w:rFonts w:ascii="Arial" w:hAnsi="Arial" w:cs="Arial"/>
          <w:bCs/>
          <w:i/>
          <w:iCs/>
          <w:sz w:val="20"/>
          <w:szCs w:val="20"/>
        </w:rPr>
        <w:t xml:space="preserve">the same </w:t>
      </w:r>
      <w:r w:rsidR="000C0BA7">
        <w:rPr>
          <w:rFonts w:ascii="Arial" w:hAnsi="Arial" w:cs="Arial"/>
          <w:bCs/>
          <w:i/>
          <w:iCs/>
          <w:sz w:val="20"/>
          <w:szCs w:val="20"/>
        </w:rPr>
        <w:t>(PC2 + PC2) PA configuration</w:t>
      </w:r>
      <w:r w:rsidR="00752EC7">
        <w:rPr>
          <w:rFonts w:ascii="Arial" w:hAnsi="Arial" w:cs="Arial"/>
          <w:bCs/>
          <w:i/>
          <w:iCs/>
          <w:sz w:val="20"/>
          <w:szCs w:val="20"/>
        </w:rPr>
        <w:t xml:space="preserve"> for PC2, </w:t>
      </w:r>
      <w:r w:rsidR="00DB0AB1">
        <w:rPr>
          <w:rFonts w:ascii="Arial" w:hAnsi="Arial" w:cs="Arial"/>
          <w:bCs/>
          <w:i/>
          <w:iCs/>
          <w:sz w:val="20"/>
          <w:szCs w:val="20"/>
        </w:rPr>
        <w:t xml:space="preserve">the </w:t>
      </w:r>
      <w:r w:rsidR="00752EC7">
        <w:rPr>
          <w:rFonts w:ascii="Arial" w:hAnsi="Arial" w:cs="Arial"/>
          <w:bCs/>
          <w:i/>
          <w:iCs/>
          <w:sz w:val="20"/>
          <w:szCs w:val="20"/>
        </w:rPr>
        <w:t>PC1.5 MPR is expected to be 3dB higher than that of PC2.</w:t>
      </w:r>
      <w:r w:rsidR="000C0BA7">
        <w:rPr>
          <w:rFonts w:ascii="Arial" w:hAnsi="Arial" w:cs="Arial"/>
          <w:bCs/>
          <w:i/>
          <w:iCs/>
          <w:sz w:val="20"/>
          <w:szCs w:val="20"/>
        </w:rPr>
        <w:t xml:space="preserve"> </w:t>
      </w:r>
    </w:p>
    <w:p w14:paraId="7421534F" w14:textId="77777777" w:rsidR="009C58C3" w:rsidRDefault="009C58C3" w:rsidP="009C58C3">
      <w:pPr>
        <w:jc w:val="both"/>
        <w:rPr>
          <w:rFonts w:ascii="Arial" w:hAnsi="Arial" w:cs="Arial"/>
          <w:bCs/>
          <w:sz w:val="20"/>
          <w:szCs w:val="20"/>
        </w:rPr>
      </w:pPr>
    </w:p>
    <w:p w14:paraId="3D85F549" w14:textId="70F284A4" w:rsidR="009C58C3" w:rsidRPr="009C58C3" w:rsidRDefault="009C58C3" w:rsidP="009C58C3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9C58C3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 w:rsidR="00752EC7">
        <w:rPr>
          <w:rFonts w:ascii="Arial" w:hAnsi="Arial" w:cs="Arial"/>
          <w:b/>
          <w:i/>
          <w:iCs/>
          <w:sz w:val="20"/>
          <w:szCs w:val="20"/>
        </w:rPr>
        <w:t>6</w:t>
      </w:r>
      <w:r w:rsidRPr="009C58C3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752EC7">
        <w:rPr>
          <w:rFonts w:ascii="Arial" w:hAnsi="Arial" w:cs="Arial"/>
          <w:bCs/>
          <w:i/>
          <w:iCs/>
          <w:sz w:val="20"/>
          <w:szCs w:val="20"/>
        </w:rPr>
        <w:t>T</w:t>
      </w:r>
      <w:r w:rsidR="00752EC7" w:rsidRPr="00752EC7">
        <w:rPr>
          <w:rFonts w:ascii="Arial" w:hAnsi="Arial" w:cs="Arial"/>
          <w:bCs/>
          <w:i/>
          <w:iCs/>
          <w:sz w:val="20"/>
          <w:szCs w:val="20"/>
        </w:rPr>
        <w:t>here is virtually no performance gain for PC1.5 intra-band NC UL CA as compared to its PC2 counterpart.</w:t>
      </w:r>
    </w:p>
    <w:p w14:paraId="0416BB04" w14:textId="77777777" w:rsidR="005D2254" w:rsidRDefault="005D2254" w:rsidP="005D2254">
      <w:pPr>
        <w:jc w:val="both"/>
        <w:rPr>
          <w:rFonts w:ascii="Arial" w:hAnsi="Arial" w:cs="Arial"/>
          <w:bCs/>
          <w:sz w:val="20"/>
          <w:szCs w:val="20"/>
        </w:rPr>
      </w:pPr>
    </w:p>
    <w:p w14:paraId="3EFF6CA5" w14:textId="60A9481D" w:rsidR="003E3380" w:rsidRDefault="00752EC7" w:rsidP="008C6C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Considering that supporting PC1.5 intra-band contiguous UL CA </w:t>
      </w:r>
      <w:r w:rsidR="008600C1">
        <w:rPr>
          <w:rFonts w:ascii="Arial" w:hAnsi="Arial" w:cs="Arial"/>
          <w:sz w:val="20"/>
          <w:szCs w:val="20"/>
        </w:rPr>
        <w:t xml:space="preserve">without UL MIMO </w:t>
      </w:r>
      <w:r>
        <w:rPr>
          <w:rFonts w:ascii="Arial" w:hAnsi="Arial" w:cs="Arial"/>
          <w:sz w:val="20"/>
          <w:szCs w:val="20"/>
        </w:rPr>
        <w:t xml:space="preserve">could be a diminishing return, we propose to introduce UL Tx switching with UL MIMO as an enhancement feature for intra-band non-contiguous UL CA </w:t>
      </w:r>
      <w:r w:rsidR="008600C1">
        <w:rPr>
          <w:rFonts w:ascii="Arial" w:hAnsi="Arial" w:cs="Arial"/>
          <w:sz w:val="20"/>
          <w:szCs w:val="20"/>
        </w:rPr>
        <w:t xml:space="preserve">[3] </w:t>
      </w:r>
      <w:r>
        <w:rPr>
          <w:rFonts w:ascii="Arial" w:hAnsi="Arial" w:cs="Arial"/>
          <w:sz w:val="20"/>
          <w:szCs w:val="20"/>
        </w:rPr>
        <w:t>to mitigate the coverage loss issue due to the considerable MPR under simultaneous non-contiguous carriers transmission.</w:t>
      </w:r>
    </w:p>
    <w:p w14:paraId="06296836" w14:textId="77777777" w:rsidR="008979DE" w:rsidRDefault="008979DE" w:rsidP="008979DE">
      <w:pPr>
        <w:jc w:val="both"/>
        <w:rPr>
          <w:rFonts w:ascii="Arial" w:hAnsi="Arial" w:cs="Arial"/>
          <w:sz w:val="20"/>
          <w:szCs w:val="20"/>
        </w:rPr>
      </w:pPr>
    </w:p>
    <w:p w14:paraId="5109C038" w14:textId="068C1FD7" w:rsidR="008979DE" w:rsidRDefault="008979DE" w:rsidP="005E71D6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Proposal</w:t>
      </w:r>
      <w:r w:rsidRPr="00CE1748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="0012595B">
        <w:rPr>
          <w:rFonts w:ascii="Arial" w:hAnsi="Arial" w:cs="Arial"/>
          <w:bCs/>
          <w:i/>
          <w:iCs/>
          <w:sz w:val="20"/>
          <w:szCs w:val="20"/>
        </w:rPr>
        <w:t>I</w:t>
      </w:r>
      <w:r w:rsidR="0012595B" w:rsidRPr="0012595B">
        <w:rPr>
          <w:rFonts w:ascii="Arial" w:hAnsi="Arial" w:cs="Arial"/>
          <w:bCs/>
          <w:i/>
          <w:iCs/>
          <w:sz w:val="20"/>
          <w:szCs w:val="20"/>
        </w:rPr>
        <w:t xml:space="preserve">ntroduce UL Tx switching </w:t>
      </w:r>
      <w:r w:rsidR="0012595B">
        <w:rPr>
          <w:rFonts w:ascii="Arial" w:hAnsi="Arial" w:cs="Arial"/>
          <w:bCs/>
          <w:i/>
          <w:iCs/>
          <w:sz w:val="20"/>
          <w:szCs w:val="20"/>
        </w:rPr>
        <w:t>for</w:t>
      </w:r>
      <w:r w:rsidR="0012595B" w:rsidRPr="0012595B">
        <w:rPr>
          <w:rFonts w:ascii="Arial" w:hAnsi="Arial" w:cs="Arial"/>
          <w:bCs/>
          <w:i/>
          <w:iCs/>
          <w:sz w:val="20"/>
          <w:szCs w:val="20"/>
        </w:rPr>
        <w:t xml:space="preserve"> intra-band non-contiguous UL CA with UL MIMO </w:t>
      </w:r>
      <w:r w:rsidR="002B1932">
        <w:rPr>
          <w:rFonts w:ascii="Arial" w:hAnsi="Arial" w:cs="Arial"/>
          <w:bCs/>
          <w:i/>
          <w:iCs/>
          <w:sz w:val="20"/>
          <w:szCs w:val="20"/>
        </w:rPr>
        <w:t>as an enhanc</w:t>
      </w:r>
      <w:r w:rsidR="00B85936">
        <w:rPr>
          <w:rFonts w:ascii="Arial" w:hAnsi="Arial" w:cs="Arial"/>
          <w:bCs/>
          <w:i/>
          <w:iCs/>
          <w:sz w:val="20"/>
          <w:szCs w:val="20"/>
        </w:rPr>
        <w:t>ement</w:t>
      </w:r>
      <w:r w:rsidR="002B1932">
        <w:rPr>
          <w:rFonts w:ascii="Arial" w:hAnsi="Arial" w:cs="Arial"/>
          <w:bCs/>
          <w:i/>
          <w:iCs/>
          <w:sz w:val="20"/>
          <w:szCs w:val="20"/>
        </w:rPr>
        <w:t xml:space="preserve"> feature to intra-band non-contiguous UL CA without UL MIMO.</w:t>
      </w:r>
    </w:p>
    <w:p w14:paraId="34C99636" w14:textId="3E7DFFF1" w:rsidR="008E7986" w:rsidRDefault="002504F0" w:rsidP="008E7986">
      <w:pPr>
        <w:pStyle w:val="Heading1"/>
      </w:pPr>
      <w:r>
        <w:t>3</w:t>
      </w:r>
      <w:r w:rsidR="008E7986"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05AA4A97" w:rsidR="006D7B72" w:rsidRPr="00BA50B0" w:rsidRDefault="00073ED4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contribution, we share our concern that there may not be any performance gain for PC1.5 intra-band non-contiguous UL CA as compared to its PC2 counterpart due to that the PA configuration may have been assumed to be (PC2 + PC2) for PC2 MPR requirements which is also the same PA configuration for PC1.5. Considering that supporting PC1.5 intra-band contiguous UL CA without UL MIMO could be a diminishing return, we propose to introduce UL Tx switching with UL MIMO as an enhancement feature for intra-band non-contiguous UL CA to mitigate the coverage loss issue due to the considerable MPR under simultaneous non-contiguous carriers transmission.</w:t>
      </w:r>
    </w:p>
    <w:p w14:paraId="284501E7" w14:textId="77777777" w:rsidR="00DB0BC8" w:rsidRDefault="00DB0BC8" w:rsidP="00DB0BC8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427FEB13" w14:textId="77777777" w:rsidR="00073ED4" w:rsidRDefault="00073ED4" w:rsidP="00073E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C58C3">
        <w:rPr>
          <w:rFonts w:ascii="Arial" w:hAnsi="Arial" w:cs="Arial"/>
          <w:b/>
          <w:i/>
          <w:iCs/>
          <w:sz w:val="20"/>
          <w:szCs w:val="20"/>
        </w:rPr>
        <w:t>Observation 1</w:t>
      </w:r>
      <w:r w:rsidRPr="009C58C3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Pr="00802CC2">
        <w:rPr>
          <w:rFonts w:ascii="Arial" w:hAnsi="Arial" w:cs="Arial"/>
          <w:bCs/>
          <w:i/>
          <w:iCs/>
          <w:sz w:val="20"/>
          <w:szCs w:val="20"/>
        </w:rPr>
        <w:t>For PC3 intra-band non-contiguous UL CA with dualPA-Architecture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, MPR has been specified based on (PC3 + PC3) PA configuration. </w:t>
      </w:r>
    </w:p>
    <w:p w14:paraId="406A22FA" w14:textId="77777777" w:rsidR="00073ED4" w:rsidRDefault="00073ED4" w:rsidP="00073ED4">
      <w:pPr>
        <w:jc w:val="both"/>
        <w:rPr>
          <w:rFonts w:ascii="Arial" w:hAnsi="Arial" w:cs="Arial"/>
          <w:sz w:val="20"/>
          <w:szCs w:val="20"/>
        </w:rPr>
      </w:pPr>
    </w:p>
    <w:p w14:paraId="1A318737" w14:textId="42CC99F3" w:rsidR="009F2575" w:rsidRPr="009C58C3" w:rsidRDefault="00073ED4" w:rsidP="00073ED4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9C58C3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2</w:t>
      </w:r>
      <w:r w:rsidRPr="009C58C3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F</w:t>
      </w:r>
      <w:r w:rsidRPr="00802CC2">
        <w:rPr>
          <w:rFonts w:ascii="Arial" w:hAnsi="Arial" w:cs="Arial"/>
          <w:bCs/>
          <w:i/>
          <w:iCs/>
          <w:sz w:val="20"/>
          <w:szCs w:val="20"/>
        </w:rPr>
        <w:t>or PC2 intra-band non-contiguous UL CA with dualPA-Architecture, the PA configuration could potentially be (PC3 + PC3), (PC3 + PC2), or (PC2 + PC2).</w:t>
      </w:r>
    </w:p>
    <w:p w14:paraId="791D1747" w14:textId="77777777" w:rsidR="009F2575" w:rsidRDefault="009F2575" w:rsidP="009F2575">
      <w:pPr>
        <w:jc w:val="both"/>
        <w:rPr>
          <w:rFonts w:ascii="Arial" w:hAnsi="Arial" w:cs="Arial"/>
          <w:bCs/>
          <w:sz w:val="20"/>
          <w:szCs w:val="20"/>
        </w:rPr>
      </w:pPr>
    </w:p>
    <w:p w14:paraId="0145ECF1" w14:textId="27ACB5A7" w:rsidR="00073ED4" w:rsidRPr="009C58C3" w:rsidRDefault="00CC56EA" w:rsidP="00073ED4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9C58C3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3</w:t>
      </w:r>
      <w:r w:rsidRPr="009C58C3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 w:rsidRPr="00802CC2">
        <w:rPr>
          <w:rFonts w:ascii="Arial" w:hAnsi="Arial" w:cs="Arial"/>
          <w:bCs/>
          <w:i/>
          <w:iCs/>
          <w:sz w:val="20"/>
          <w:szCs w:val="20"/>
        </w:rPr>
        <w:t>For PC2 intra-band non-contiguous UL CA with dualPA-Architecture</w:t>
      </w:r>
      <w:r>
        <w:rPr>
          <w:rFonts w:ascii="Arial" w:hAnsi="Arial" w:cs="Arial"/>
          <w:bCs/>
          <w:i/>
          <w:iCs/>
          <w:sz w:val="20"/>
          <w:szCs w:val="20"/>
        </w:rPr>
        <w:t>, MPR based on both (PC3 + PC3) and (PC2 + PC3) PA configurations would be 3dB higher than that of PC3.</w:t>
      </w:r>
    </w:p>
    <w:p w14:paraId="729F8FF2" w14:textId="77777777" w:rsidR="00073ED4" w:rsidRDefault="00073ED4" w:rsidP="00073ED4">
      <w:pPr>
        <w:jc w:val="both"/>
        <w:rPr>
          <w:rFonts w:ascii="Arial" w:hAnsi="Arial" w:cs="Arial"/>
          <w:bCs/>
          <w:sz w:val="20"/>
          <w:szCs w:val="20"/>
        </w:rPr>
      </w:pPr>
    </w:p>
    <w:p w14:paraId="6E62322B" w14:textId="77777777" w:rsidR="00073ED4" w:rsidRPr="009C58C3" w:rsidRDefault="00073ED4" w:rsidP="00073ED4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9C58C3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4</w:t>
      </w:r>
      <w:r w:rsidRPr="009C58C3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The</w:t>
      </w:r>
      <w:r w:rsidRPr="000C0BA7">
        <w:rPr>
          <w:rFonts w:ascii="Arial" w:hAnsi="Arial" w:cs="Arial"/>
          <w:bCs/>
          <w:i/>
          <w:iCs/>
          <w:sz w:val="20"/>
          <w:szCs w:val="20"/>
        </w:rPr>
        <w:t xml:space="preserve"> comparable MPR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values </w:t>
      </w:r>
      <w:r w:rsidRPr="000C0BA7">
        <w:rPr>
          <w:rFonts w:ascii="Arial" w:hAnsi="Arial" w:cs="Arial"/>
          <w:bCs/>
          <w:i/>
          <w:iCs/>
          <w:sz w:val="20"/>
          <w:szCs w:val="20"/>
        </w:rPr>
        <w:t xml:space="preserve">between PC3 and PC2 as </w:t>
      </w:r>
      <w:r>
        <w:rPr>
          <w:rFonts w:ascii="Arial" w:hAnsi="Arial" w:cs="Arial"/>
          <w:bCs/>
          <w:i/>
          <w:iCs/>
          <w:sz w:val="20"/>
          <w:szCs w:val="20"/>
        </w:rPr>
        <w:t>defined</w:t>
      </w:r>
      <w:r w:rsidRPr="000C0BA7">
        <w:rPr>
          <w:rFonts w:ascii="Arial" w:hAnsi="Arial" w:cs="Arial"/>
          <w:bCs/>
          <w:i/>
          <w:iCs/>
          <w:sz w:val="20"/>
          <w:szCs w:val="20"/>
        </w:rPr>
        <w:t xml:space="preserve"> in </w:t>
      </w:r>
      <w:r>
        <w:rPr>
          <w:rFonts w:ascii="Arial" w:hAnsi="Arial" w:cs="Arial"/>
          <w:bCs/>
          <w:i/>
          <w:iCs/>
          <w:sz w:val="20"/>
          <w:szCs w:val="20"/>
        </w:rPr>
        <w:t>current RAN4 specifications implies that</w:t>
      </w:r>
      <w:r w:rsidRPr="000C0BA7">
        <w:rPr>
          <w:rFonts w:ascii="Arial" w:hAnsi="Arial" w:cs="Arial"/>
          <w:bCs/>
          <w:i/>
          <w:iCs/>
          <w:sz w:val="20"/>
          <w:szCs w:val="20"/>
        </w:rPr>
        <w:t xml:space="preserve"> the only possible PA configuration for PC2 would be (PC2 + PC2).</w:t>
      </w:r>
    </w:p>
    <w:p w14:paraId="482B9FB8" w14:textId="77777777" w:rsidR="00073ED4" w:rsidRDefault="00073ED4" w:rsidP="00073ED4">
      <w:pPr>
        <w:jc w:val="both"/>
        <w:rPr>
          <w:rFonts w:ascii="Arial" w:hAnsi="Arial" w:cs="Arial"/>
          <w:bCs/>
          <w:sz w:val="20"/>
          <w:szCs w:val="20"/>
        </w:rPr>
      </w:pPr>
    </w:p>
    <w:p w14:paraId="4C9B38AC" w14:textId="15C0444C" w:rsidR="00073ED4" w:rsidRPr="009C58C3" w:rsidRDefault="00073ED4" w:rsidP="00073ED4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9C58C3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5</w:t>
      </w:r>
      <w:r w:rsidRPr="009C58C3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As PC1.5 </w:t>
      </w:r>
      <w:r w:rsidRPr="00802CC2">
        <w:rPr>
          <w:rFonts w:ascii="Arial" w:hAnsi="Arial" w:cs="Arial"/>
          <w:bCs/>
          <w:i/>
          <w:iCs/>
          <w:sz w:val="20"/>
          <w:szCs w:val="20"/>
        </w:rPr>
        <w:t>intra-band non-contiguous UL CA with dualPA-Architecture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would be based on the same (PC2 + PC2) PA configuration for PC2, </w:t>
      </w:r>
      <w:r w:rsidR="00DB0AB1">
        <w:rPr>
          <w:rFonts w:ascii="Arial" w:hAnsi="Arial" w:cs="Arial"/>
          <w:bCs/>
          <w:i/>
          <w:iCs/>
          <w:sz w:val="20"/>
          <w:szCs w:val="20"/>
        </w:rPr>
        <w:t xml:space="preserve">the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PC1.5 MPR is expected to be 3dB higher than that of PC2. </w:t>
      </w:r>
    </w:p>
    <w:p w14:paraId="79DA0EB9" w14:textId="77777777" w:rsidR="00073ED4" w:rsidRDefault="00073ED4" w:rsidP="00073ED4">
      <w:pPr>
        <w:jc w:val="both"/>
        <w:rPr>
          <w:rFonts w:ascii="Arial" w:hAnsi="Arial" w:cs="Arial"/>
          <w:bCs/>
          <w:sz w:val="20"/>
          <w:szCs w:val="20"/>
        </w:rPr>
      </w:pPr>
    </w:p>
    <w:p w14:paraId="7732B032" w14:textId="3D73D328" w:rsidR="00C57E50" w:rsidRPr="008E75A4" w:rsidRDefault="00073ED4" w:rsidP="00073ED4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9C58C3">
        <w:rPr>
          <w:rFonts w:ascii="Arial" w:hAnsi="Arial" w:cs="Arial"/>
          <w:b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i/>
          <w:iCs/>
          <w:sz w:val="20"/>
          <w:szCs w:val="20"/>
        </w:rPr>
        <w:t>6</w:t>
      </w:r>
      <w:r w:rsidRPr="009C58C3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T</w:t>
      </w:r>
      <w:r w:rsidRPr="00752EC7">
        <w:rPr>
          <w:rFonts w:ascii="Arial" w:hAnsi="Arial" w:cs="Arial"/>
          <w:bCs/>
          <w:i/>
          <w:iCs/>
          <w:sz w:val="20"/>
          <w:szCs w:val="20"/>
        </w:rPr>
        <w:t>here is virtually no performance gain for PC1.5 intra-band NC UL CA as compared to its PC2 counterpart.</w:t>
      </w:r>
    </w:p>
    <w:p w14:paraId="4765AFCA" w14:textId="77777777" w:rsidR="00472C4E" w:rsidRDefault="00472C4E" w:rsidP="00472C4E">
      <w:pPr>
        <w:jc w:val="both"/>
        <w:rPr>
          <w:rFonts w:ascii="Arial" w:hAnsi="Arial" w:cs="Arial"/>
          <w:sz w:val="20"/>
          <w:szCs w:val="20"/>
        </w:rPr>
      </w:pPr>
    </w:p>
    <w:p w14:paraId="1146732F" w14:textId="6E63E0B6" w:rsidR="00472C4E" w:rsidRPr="0057558C" w:rsidRDefault="00B85936" w:rsidP="00A7596D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i/>
          <w:iCs/>
          <w:sz w:val="20"/>
          <w:szCs w:val="20"/>
        </w:rPr>
        <w:t>Proposal</w:t>
      </w:r>
      <w:r w:rsidRPr="00CE1748">
        <w:rPr>
          <w:rFonts w:ascii="Arial" w:hAnsi="Arial" w:cs="Arial"/>
          <w:bCs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I</w:t>
      </w:r>
      <w:r w:rsidRPr="0012595B">
        <w:rPr>
          <w:rFonts w:ascii="Arial" w:hAnsi="Arial" w:cs="Arial"/>
          <w:bCs/>
          <w:i/>
          <w:iCs/>
          <w:sz w:val="20"/>
          <w:szCs w:val="20"/>
        </w:rPr>
        <w:t xml:space="preserve">ntroduce UL Tx switching </w:t>
      </w:r>
      <w:r>
        <w:rPr>
          <w:rFonts w:ascii="Arial" w:hAnsi="Arial" w:cs="Arial"/>
          <w:bCs/>
          <w:i/>
          <w:iCs/>
          <w:sz w:val="20"/>
          <w:szCs w:val="20"/>
        </w:rPr>
        <w:t>for</w:t>
      </w:r>
      <w:r w:rsidRPr="0012595B">
        <w:rPr>
          <w:rFonts w:ascii="Arial" w:hAnsi="Arial" w:cs="Arial"/>
          <w:bCs/>
          <w:i/>
          <w:iCs/>
          <w:sz w:val="20"/>
          <w:szCs w:val="20"/>
        </w:rPr>
        <w:t xml:space="preserve"> intra-band non-contiguous UL CA with UL MIMO </w:t>
      </w:r>
      <w:r>
        <w:rPr>
          <w:rFonts w:ascii="Arial" w:hAnsi="Arial" w:cs="Arial"/>
          <w:bCs/>
          <w:i/>
          <w:iCs/>
          <w:sz w:val="20"/>
          <w:szCs w:val="20"/>
        </w:rPr>
        <w:t>as an enhancement feature to intra-band non-contiguous UL CA without UL MIMO.</w:t>
      </w:r>
    </w:p>
    <w:p w14:paraId="5D2DDC34" w14:textId="02A4DA11" w:rsidR="005E69AE" w:rsidRDefault="00987E57" w:rsidP="005E69AE">
      <w:pPr>
        <w:pStyle w:val="Heading1"/>
      </w:pPr>
      <w:r>
        <w:lastRenderedPageBreak/>
        <w:t>4</w:t>
      </w:r>
      <w:r w:rsidR="005E69AE"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566825C1" w14:textId="484A08D0" w:rsidR="0057672C" w:rsidRDefault="003E29F3" w:rsidP="00A9741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3E29F3">
        <w:rPr>
          <w:rFonts w:ascii="Arial" w:hAnsi="Arial" w:cs="Arial"/>
          <w:bCs/>
          <w:sz w:val="20"/>
          <w:szCs w:val="20"/>
        </w:rPr>
        <w:t>RP-240828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B9016C">
        <w:rPr>
          <w:rFonts w:ascii="Arial" w:hAnsi="Arial" w:cs="Arial"/>
          <w:bCs/>
          <w:sz w:val="20"/>
          <w:szCs w:val="20"/>
        </w:rPr>
        <w:t>“</w:t>
      </w:r>
      <w:r w:rsidRPr="003E29F3">
        <w:rPr>
          <w:rFonts w:ascii="Arial" w:hAnsi="Arial" w:cs="Arial"/>
          <w:bCs/>
          <w:sz w:val="20"/>
          <w:szCs w:val="20"/>
        </w:rPr>
        <w:t>New WID: UE RF enhancements for NR FR1/FR2 and EN-DC, Phase 4</w:t>
      </w:r>
      <w:r w:rsidR="00B9016C">
        <w:rPr>
          <w:rFonts w:ascii="Arial" w:hAnsi="Arial" w:cs="Arial"/>
          <w:bCs/>
          <w:sz w:val="20"/>
          <w:szCs w:val="20"/>
        </w:rPr>
        <w:t>”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>
        <w:rPr>
          <w:rFonts w:ascii="Arial" w:hAnsi="Arial" w:cs="Arial"/>
          <w:bCs/>
          <w:sz w:val="20"/>
          <w:szCs w:val="20"/>
        </w:rPr>
        <w:t>RAN4 Chair (Huawei)</w:t>
      </w:r>
      <w:r w:rsidR="00B9016C">
        <w:rPr>
          <w:rFonts w:ascii="Arial" w:hAnsi="Arial" w:cs="Arial"/>
          <w:bCs/>
          <w:sz w:val="20"/>
          <w:szCs w:val="20"/>
        </w:rPr>
        <w:t xml:space="preserve">, </w:t>
      </w:r>
      <w:r w:rsidR="00B9016C" w:rsidRPr="008B4249">
        <w:rPr>
          <w:rFonts w:ascii="Arial" w:hAnsi="Arial" w:cs="Arial"/>
          <w:bCs/>
          <w:sz w:val="20"/>
          <w:szCs w:val="20"/>
        </w:rPr>
        <w:t>3GPP TSG-RAN Meeting #</w:t>
      </w:r>
      <w:r>
        <w:rPr>
          <w:rFonts w:ascii="Arial" w:hAnsi="Arial" w:cs="Arial"/>
          <w:bCs/>
          <w:sz w:val="20"/>
          <w:szCs w:val="20"/>
        </w:rPr>
        <w:t>103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Pr="003E29F3">
        <w:rPr>
          <w:rFonts w:ascii="Arial" w:hAnsi="Arial" w:cs="Arial"/>
          <w:bCs/>
          <w:sz w:val="20"/>
          <w:szCs w:val="20"/>
        </w:rPr>
        <w:t>Maastricht</w:t>
      </w:r>
      <w:r w:rsidR="00B9016C">
        <w:rPr>
          <w:rFonts w:ascii="Arial" w:hAnsi="Arial" w:cs="Arial"/>
          <w:bCs/>
          <w:sz w:val="20"/>
          <w:szCs w:val="20"/>
        </w:rPr>
        <w:t xml:space="preserve">, </w:t>
      </w:r>
      <w:r w:rsidR="00B9016C" w:rsidRPr="00680F8F">
        <w:rPr>
          <w:rFonts w:ascii="Arial" w:hAnsi="Arial" w:cs="Arial"/>
          <w:bCs/>
          <w:sz w:val="20"/>
          <w:szCs w:val="20"/>
        </w:rPr>
        <w:t>Netherlands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, </w:t>
      </w:r>
      <w:r w:rsidR="00B9016C">
        <w:rPr>
          <w:rFonts w:ascii="Arial" w:hAnsi="Arial" w:cs="Arial"/>
          <w:bCs/>
          <w:sz w:val="20"/>
          <w:szCs w:val="20"/>
        </w:rPr>
        <w:t>March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</w:t>
      </w:r>
      <w:r w:rsidR="00112B6A">
        <w:rPr>
          <w:rFonts w:ascii="Arial" w:hAnsi="Arial" w:cs="Arial"/>
          <w:bCs/>
          <w:sz w:val="20"/>
          <w:szCs w:val="20"/>
        </w:rPr>
        <w:t>18</w:t>
      </w:r>
      <w:r w:rsidR="00B9016C" w:rsidRPr="008B4249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="00B9016C" w:rsidRPr="008B4249">
        <w:rPr>
          <w:rFonts w:ascii="Arial" w:hAnsi="Arial" w:cs="Arial"/>
          <w:bCs/>
          <w:sz w:val="20"/>
          <w:szCs w:val="20"/>
        </w:rPr>
        <w:t xml:space="preserve"> – </w:t>
      </w:r>
      <w:r w:rsidR="00B9016C">
        <w:rPr>
          <w:rFonts w:ascii="Arial" w:hAnsi="Arial" w:cs="Arial"/>
          <w:bCs/>
          <w:sz w:val="20"/>
          <w:szCs w:val="20"/>
        </w:rPr>
        <w:t>2</w:t>
      </w:r>
      <w:r w:rsidR="00112B6A">
        <w:rPr>
          <w:rFonts w:ascii="Arial" w:hAnsi="Arial" w:cs="Arial"/>
          <w:bCs/>
          <w:sz w:val="20"/>
          <w:szCs w:val="20"/>
        </w:rPr>
        <w:t>1</w:t>
      </w:r>
      <w:r w:rsidR="00112B6A">
        <w:rPr>
          <w:rFonts w:ascii="Arial" w:hAnsi="Arial" w:cs="Arial"/>
          <w:bCs/>
          <w:sz w:val="20"/>
          <w:szCs w:val="20"/>
          <w:vertAlign w:val="superscript"/>
        </w:rPr>
        <w:t>st</w:t>
      </w:r>
      <w:r w:rsidR="00B9016C" w:rsidRPr="008B4249">
        <w:rPr>
          <w:rFonts w:ascii="Arial" w:hAnsi="Arial" w:cs="Arial"/>
          <w:bCs/>
          <w:sz w:val="20"/>
          <w:szCs w:val="20"/>
        </w:rPr>
        <w:t>, 202</w:t>
      </w:r>
      <w:r w:rsidR="00112B6A">
        <w:rPr>
          <w:rFonts w:ascii="Arial" w:hAnsi="Arial" w:cs="Arial"/>
          <w:bCs/>
          <w:sz w:val="20"/>
          <w:szCs w:val="20"/>
        </w:rPr>
        <w:t>4</w:t>
      </w:r>
    </w:p>
    <w:p w14:paraId="6B45D8A2" w14:textId="15E26F11" w:rsidR="00C57E50" w:rsidRDefault="00CA510E" w:rsidP="00472C4E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CA510E">
        <w:rPr>
          <w:rFonts w:ascii="Arial" w:hAnsi="Arial" w:cs="Arial"/>
          <w:bCs/>
          <w:sz w:val="20"/>
          <w:szCs w:val="20"/>
        </w:rPr>
        <w:t>R4-24</w:t>
      </w:r>
      <w:r w:rsidR="00727A5D">
        <w:rPr>
          <w:rFonts w:ascii="Arial" w:hAnsi="Arial" w:cs="Arial"/>
          <w:bCs/>
          <w:sz w:val="20"/>
          <w:szCs w:val="20"/>
        </w:rPr>
        <w:t>1</w:t>
      </w:r>
      <w:r w:rsidR="00733F92">
        <w:rPr>
          <w:rFonts w:ascii="Arial" w:hAnsi="Arial" w:cs="Arial"/>
          <w:bCs/>
          <w:sz w:val="20"/>
          <w:szCs w:val="20"/>
        </w:rPr>
        <w:t>7098</w:t>
      </w:r>
      <w:r w:rsidRPr="00CA510E">
        <w:rPr>
          <w:rFonts w:ascii="Arial" w:hAnsi="Arial" w:cs="Arial"/>
          <w:bCs/>
          <w:sz w:val="20"/>
          <w:szCs w:val="20"/>
        </w:rPr>
        <w:t xml:space="preserve"> “</w:t>
      </w:r>
      <w:r w:rsidR="00733F92" w:rsidRPr="00733F92">
        <w:rPr>
          <w:rFonts w:ascii="Arial" w:hAnsi="Arial" w:cs="Arial"/>
          <w:bCs/>
          <w:sz w:val="20"/>
          <w:szCs w:val="20"/>
          <w:lang w:val="en-GB"/>
        </w:rPr>
        <w:t>WF on HPUE RF requirements</w:t>
      </w:r>
      <w:r w:rsidRPr="00CA510E">
        <w:rPr>
          <w:rFonts w:ascii="Arial" w:hAnsi="Arial" w:cs="Arial"/>
          <w:bCs/>
          <w:sz w:val="20"/>
          <w:szCs w:val="20"/>
        </w:rPr>
        <w:t xml:space="preserve">”, </w:t>
      </w:r>
      <w:r w:rsidR="005E1A8B">
        <w:rPr>
          <w:rFonts w:ascii="Arial" w:hAnsi="Arial" w:cs="Arial"/>
          <w:bCs/>
          <w:sz w:val="20"/>
          <w:szCs w:val="20"/>
        </w:rPr>
        <w:t>Samsung</w:t>
      </w:r>
      <w:r w:rsidRPr="00CA510E">
        <w:rPr>
          <w:rFonts w:ascii="Arial" w:hAnsi="Arial" w:cs="Arial"/>
          <w:bCs/>
          <w:sz w:val="20"/>
          <w:szCs w:val="20"/>
        </w:rPr>
        <w:t>, 3GPP TSG RAN WG4 Meeting #11</w:t>
      </w:r>
      <w:r w:rsidR="00D87CEF">
        <w:rPr>
          <w:rFonts w:ascii="Arial" w:hAnsi="Arial" w:cs="Arial"/>
          <w:bCs/>
          <w:sz w:val="20"/>
          <w:szCs w:val="20"/>
        </w:rPr>
        <w:t>2</w:t>
      </w:r>
      <w:r w:rsidR="00733F92">
        <w:rPr>
          <w:rFonts w:ascii="Arial" w:hAnsi="Arial" w:cs="Arial"/>
          <w:bCs/>
          <w:sz w:val="20"/>
          <w:szCs w:val="20"/>
        </w:rPr>
        <w:t>bis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733F92">
        <w:rPr>
          <w:rFonts w:ascii="Arial" w:hAnsi="Arial" w:cs="Arial"/>
          <w:bCs/>
          <w:sz w:val="20"/>
          <w:szCs w:val="20"/>
        </w:rPr>
        <w:t>Hefei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733F92">
        <w:rPr>
          <w:rFonts w:ascii="Arial" w:hAnsi="Arial" w:cs="Arial"/>
          <w:bCs/>
          <w:sz w:val="20"/>
          <w:szCs w:val="20"/>
        </w:rPr>
        <w:t>China</w:t>
      </w:r>
      <w:r w:rsidRPr="00CA510E">
        <w:rPr>
          <w:rFonts w:ascii="Arial" w:hAnsi="Arial" w:cs="Arial"/>
          <w:bCs/>
          <w:sz w:val="20"/>
          <w:szCs w:val="20"/>
        </w:rPr>
        <w:t xml:space="preserve">, </w:t>
      </w:r>
      <w:r w:rsidR="00733F92">
        <w:rPr>
          <w:rFonts w:ascii="Arial" w:hAnsi="Arial" w:cs="Arial"/>
          <w:bCs/>
          <w:sz w:val="20"/>
          <w:szCs w:val="20"/>
        </w:rPr>
        <w:t>October</w:t>
      </w:r>
      <w:r w:rsidRPr="00CA510E">
        <w:rPr>
          <w:rFonts w:ascii="Arial" w:hAnsi="Arial" w:cs="Arial"/>
          <w:bCs/>
          <w:sz w:val="20"/>
          <w:szCs w:val="20"/>
        </w:rPr>
        <w:t xml:space="preserve"> </w:t>
      </w:r>
      <w:r w:rsidR="00D87CEF">
        <w:rPr>
          <w:rFonts w:ascii="Arial" w:hAnsi="Arial" w:cs="Arial"/>
          <w:bCs/>
          <w:sz w:val="20"/>
          <w:szCs w:val="20"/>
        </w:rPr>
        <w:t>1</w:t>
      </w:r>
      <w:r w:rsidR="00733F92">
        <w:rPr>
          <w:rFonts w:ascii="Arial" w:hAnsi="Arial" w:cs="Arial"/>
          <w:bCs/>
          <w:sz w:val="20"/>
          <w:szCs w:val="20"/>
        </w:rPr>
        <w:t>4</w:t>
      </w:r>
      <w:r w:rsidRPr="00CA510E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A510E">
        <w:rPr>
          <w:rFonts w:ascii="Arial" w:hAnsi="Arial" w:cs="Arial"/>
          <w:bCs/>
          <w:sz w:val="20"/>
          <w:szCs w:val="20"/>
        </w:rPr>
        <w:t xml:space="preserve"> – </w:t>
      </w:r>
      <w:r w:rsidR="00733F92">
        <w:rPr>
          <w:rFonts w:ascii="Arial" w:hAnsi="Arial" w:cs="Arial"/>
          <w:bCs/>
          <w:sz w:val="20"/>
          <w:szCs w:val="20"/>
        </w:rPr>
        <w:t>18</w:t>
      </w:r>
      <w:r w:rsidR="00733F9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A510E">
        <w:rPr>
          <w:rFonts w:ascii="Arial" w:hAnsi="Arial" w:cs="Arial"/>
          <w:bCs/>
          <w:sz w:val="20"/>
          <w:szCs w:val="20"/>
        </w:rPr>
        <w:t>, 2024</w:t>
      </w:r>
    </w:p>
    <w:p w14:paraId="1B203091" w14:textId="16F68707" w:rsidR="0012595B" w:rsidRPr="00472C4E" w:rsidRDefault="00A7596D" w:rsidP="00472C4E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R4-24</w:t>
      </w:r>
      <w:r w:rsidR="008600C1">
        <w:rPr>
          <w:rFonts w:ascii="Arial" w:hAnsi="Arial" w:cs="Arial"/>
          <w:bCs/>
          <w:sz w:val="20"/>
          <w:szCs w:val="20"/>
        </w:rPr>
        <w:t>xxxxx</w:t>
      </w:r>
      <w:r>
        <w:rPr>
          <w:rFonts w:ascii="Arial" w:hAnsi="Arial" w:cs="Arial"/>
          <w:bCs/>
          <w:sz w:val="20"/>
          <w:szCs w:val="20"/>
        </w:rPr>
        <w:t xml:space="preserve"> “</w:t>
      </w:r>
      <w:r w:rsidR="009501FD" w:rsidRPr="009501FD">
        <w:rPr>
          <w:rFonts w:ascii="Arial" w:hAnsi="Arial" w:cs="Arial"/>
          <w:bCs/>
          <w:sz w:val="20"/>
          <w:szCs w:val="20"/>
        </w:rPr>
        <w:t>Motivation and Rel-19 proposal on UL Tx switching for intra-band NC UL CA</w:t>
      </w:r>
      <w:r>
        <w:rPr>
          <w:rFonts w:ascii="Arial" w:hAnsi="Arial" w:cs="Arial"/>
          <w:bCs/>
          <w:sz w:val="20"/>
          <w:szCs w:val="20"/>
        </w:rPr>
        <w:t xml:space="preserve">”, </w:t>
      </w:r>
      <w:r w:rsidR="008600C1">
        <w:rPr>
          <w:rFonts w:ascii="Arial" w:hAnsi="Arial" w:cs="Arial"/>
          <w:bCs/>
          <w:sz w:val="20"/>
          <w:szCs w:val="20"/>
        </w:rPr>
        <w:t>Orlando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="008600C1">
        <w:rPr>
          <w:rFonts w:ascii="Arial" w:hAnsi="Arial" w:cs="Arial"/>
          <w:bCs/>
          <w:sz w:val="20"/>
          <w:szCs w:val="20"/>
        </w:rPr>
        <w:t>USA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="008600C1">
        <w:rPr>
          <w:rFonts w:ascii="Arial" w:hAnsi="Arial" w:cs="Arial"/>
          <w:bCs/>
          <w:sz w:val="20"/>
          <w:szCs w:val="20"/>
        </w:rPr>
        <w:t>November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8600C1">
        <w:rPr>
          <w:rFonts w:ascii="Arial" w:hAnsi="Arial" w:cs="Arial"/>
          <w:bCs/>
          <w:sz w:val="20"/>
          <w:szCs w:val="20"/>
        </w:rPr>
        <w:t>18</w:t>
      </w:r>
      <w:r w:rsidRPr="00A7596D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 xml:space="preserve"> – </w:t>
      </w:r>
      <w:r w:rsidR="008600C1">
        <w:rPr>
          <w:rFonts w:ascii="Arial" w:hAnsi="Arial" w:cs="Arial"/>
          <w:bCs/>
          <w:sz w:val="20"/>
          <w:szCs w:val="20"/>
        </w:rPr>
        <w:t>22</w:t>
      </w:r>
      <w:r w:rsidR="008600C1">
        <w:rPr>
          <w:rFonts w:ascii="Arial" w:hAnsi="Arial" w:cs="Arial"/>
          <w:bCs/>
          <w:sz w:val="20"/>
          <w:szCs w:val="20"/>
          <w:vertAlign w:val="superscript"/>
        </w:rPr>
        <w:t>nd</w:t>
      </w:r>
      <w:r>
        <w:rPr>
          <w:rFonts w:ascii="Arial" w:hAnsi="Arial" w:cs="Arial"/>
          <w:bCs/>
          <w:sz w:val="20"/>
          <w:szCs w:val="20"/>
        </w:rPr>
        <w:t>, 2024</w:t>
      </w:r>
    </w:p>
    <w:sectPr w:rsidR="0012595B" w:rsidRPr="00472C4E" w:rsidSect="00D975F5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E4B5C0" w14:textId="77777777" w:rsidR="00547CB4" w:rsidRDefault="00547CB4">
      <w:r>
        <w:separator/>
      </w:r>
    </w:p>
  </w:endnote>
  <w:endnote w:type="continuationSeparator" w:id="0">
    <w:p w14:paraId="2216C1A5" w14:textId="77777777" w:rsidR="00547CB4" w:rsidRDefault="00547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809797" w14:textId="77777777" w:rsidR="00547CB4" w:rsidRDefault="00547CB4">
      <w:r>
        <w:separator/>
      </w:r>
    </w:p>
  </w:footnote>
  <w:footnote w:type="continuationSeparator" w:id="0">
    <w:p w14:paraId="0AC86397" w14:textId="77777777" w:rsidR="00547CB4" w:rsidRDefault="00547C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hybridMultilevel"/>
    <w:tmpl w:val="FFFFFFFF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10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CB1E44"/>
    <w:multiLevelType w:val="hybridMultilevel"/>
    <w:tmpl w:val="0CBCF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3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2"/>
  </w:num>
  <w:num w:numId="4" w16cid:durableId="127014041">
    <w:abstractNumId w:val="21"/>
  </w:num>
  <w:num w:numId="5" w16cid:durableId="977950936">
    <w:abstractNumId w:val="3"/>
  </w:num>
  <w:num w:numId="6" w16cid:durableId="1850876431">
    <w:abstractNumId w:val="3"/>
  </w:num>
  <w:num w:numId="7" w16cid:durableId="428896142">
    <w:abstractNumId w:val="16"/>
  </w:num>
  <w:num w:numId="8" w16cid:durableId="2080327107">
    <w:abstractNumId w:val="6"/>
  </w:num>
  <w:num w:numId="9" w16cid:durableId="459036515">
    <w:abstractNumId w:val="17"/>
  </w:num>
  <w:num w:numId="10" w16cid:durableId="892421984">
    <w:abstractNumId w:val="7"/>
  </w:num>
  <w:num w:numId="11" w16cid:durableId="973826835">
    <w:abstractNumId w:val="8"/>
  </w:num>
  <w:num w:numId="12" w16cid:durableId="48696969">
    <w:abstractNumId w:val="25"/>
  </w:num>
  <w:num w:numId="13" w16cid:durableId="1621182100">
    <w:abstractNumId w:val="11"/>
  </w:num>
  <w:num w:numId="14" w16cid:durableId="681855791">
    <w:abstractNumId w:val="12"/>
  </w:num>
  <w:num w:numId="15" w16cid:durableId="1387412062">
    <w:abstractNumId w:val="18"/>
  </w:num>
  <w:num w:numId="16" w16cid:durableId="1707214678">
    <w:abstractNumId w:val="26"/>
  </w:num>
  <w:num w:numId="17" w16cid:durableId="1228883719">
    <w:abstractNumId w:val="15"/>
  </w:num>
  <w:num w:numId="18" w16cid:durableId="1736001611">
    <w:abstractNumId w:val="10"/>
  </w:num>
  <w:num w:numId="19" w16cid:durableId="1708026189">
    <w:abstractNumId w:val="24"/>
  </w:num>
  <w:num w:numId="20" w16cid:durableId="2134398882">
    <w:abstractNumId w:val="14"/>
  </w:num>
  <w:num w:numId="21" w16cid:durableId="1707292931">
    <w:abstractNumId w:val="13"/>
  </w:num>
  <w:num w:numId="22" w16cid:durableId="1872840210">
    <w:abstractNumId w:val="5"/>
  </w:num>
  <w:num w:numId="23" w16cid:durableId="988828275">
    <w:abstractNumId w:val="19"/>
  </w:num>
  <w:num w:numId="24" w16cid:durableId="639112823">
    <w:abstractNumId w:val="23"/>
  </w:num>
  <w:num w:numId="25" w16cid:durableId="1758358505">
    <w:abstractNumId w:val="4"/>
  </w:num>
  <w:num w:numId="26" w16cid:durableId="2108961271">
    <w:abstractNumId w:val="27"/>
  </w:num>
  <w:num w:numId="27" w16cid:durableId="1853451127">
    <w:abstractNumId w:val="22"/>
  </w:num>
  <w:num w:numId="28" w16cid:durableId="719016014">
    <w:abstractNumId w:val="20"/>
  </w:num>
  <w:num w:numId="29" w16cid:durableId="44761965">
    <w:abstractNumId w:val="9"/>
  </w:num>
  <w:num w:numId="30" w16cid:durableId="7507830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292"/>
    <w:rsid w:val="00004765"/>
    <w:rsid w:val="00005DB5"/>
    <w:rsid w:val="0000623D"/>
    <w:rsid w:val="00007ADC"/>
    <w:rsid w:val="00011CAD"/>
    <w:rsid w:val="0001328E"/>
    <w:rsid w:val="00014468"/>
    <w:rsid w:val="0001503B"/>
    <w:rsid w:val="00016134"/>
    <w:rsid w:val="0001757D"/>
    <w:rsid w:val="000206DB"/>
    <w:rsid w:val="00020EA3"/>
    <w:rsid w:val="0002182B"/>
    <w:rsid w:val="0002328A"/>
    <w:rsid w:val="00023B9C"/>
    <w:rsid w:val="00024434"/>
    <w:rsid w:val="0002488A"/>
    <w:rsid w:val="0002498B"/>
    <w:rsid w:val="00033397"/>
    <w:rsid w:val="00034BFA"/>
    <w:rsid w:val="000357CB"/>
    <w:rsid w:val="00035A90"/>
    <w:rsid w:val="000369F4"/>
    <w:rsid w:val="00037817"/>
    <w:rsid w:val="00040095"/>
    <w:rsid w:val="00040A8C"/>
    <w:rsid w:val="00040B9B"/>
    <w:rsid w:val="00041F2A"/>
    <w:rsid w:val="00042309"/>
    <w:rsid w:val="00042B4B"/>
    <w:rsid w:val="00042D32"/>
    <w:rsid w:val="000446B1"/>
    <w:rsid w:val="00044DE2"/>
    <w:rsid w:val="000453B8"/>
    <w:rsid w:val="00047271"/>
    <w:rsid w:val="00047F47"/>
    <w:rsid w:val="00050FF1"/>
    <w:rsid w:val="00051834"/>
    <w:rsid w:val="000521A4"/>
    <w:rsid w:val="000526D6"/>
    <w:rsid w:val="000544CF"/>
    <w:rsid w:val="00054529"/>
    <w:rsid w:val="00054A22"/>
    <w:rsid w:val="0005725D"/>
    <w:rsid w:val="000572D5"/>
    <w:rsid w:val="00057E41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035B"/>
    <w:rsid w:val="0007088F"/>
    <w:rsid w:val="0007289F"/>
    <w:rsid w:val="00073ED4"/>
    <w:rsid w:val="0007513F"/>
    <w:rsid w:val="00076DD0"/>
    <w:rsid w:val="00080512"/>
    <w:rsid w:val="00080638"/>
    <w:rsid w:val="000821DE"/>
    <w:rsid w:val="0008297C"/>
    <w:rsid w:val="00084525"/>
    <w:rsid w:val="00084A90"/>
    <w:rsid w:val="00087378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202"/>
    <w:rsid w:val="000A4877"/>
    <w:rsid w:val="000A608C"/>
    <w:rsid w:val="000A68F3"/>
    <w:rsid w:val="000A7399"/>
    <w:rsid w:val="000A7DF9"/>
    <w:rsid w:val="000B6018"/>
    <w:rsid w:val="000B61FB"/>
    <w:rsid w:val="000B6AF7"/>
    <w:rsid w:val="000C0BA7"/>
    <w:rsid w:val="000C16C8"/>
    <w:rsid w:val="000C1729"/>
    <w:rsid w:val="000C19D9"/>
    <w:rsid w:val="000C47C3"/>
    <w:rsid w:val="000C54D8"/>
    <w:rsid w:val="000C59CD"/>
    <w:rsid w:val="000C60A3"/>
    <w:rsid w:val="000C71D9"/>
    <w:rsid w:val="000D0571"/>
    <w:rsid w:val="000D0FD8"/>
    <w:rsid w:val="000D1DD8"/>
    <w:rsid w:val="000D1E70"/>
    <w:rsid w:val="000D2743"/>
    <w:rsid w:val="000D50E3"/>
    <w:rsid w:val="000D57F3"/>
    <w:rsid w:val="000D58AB"/>
    <w:rsid w:val="000D6A52"/>
    <w:rsid w:val="000D6C55"/>
    <w:rsid w:val="000D7301"/>
    <w:rsid w:val="000E162D"/>
    <w:rsid w:val="000E1A37"/>
    <w:rsid w:val="000E1CAF"/>
    <w:rsid w:val="000E2238"/>
    <w:rsid w:val="000E4B1E"/>
    <w:rsid w:val="000E5476"/>
    <w:rsid w:val="000E61C4"/>
    <w:rsid w:val="000E6339"/>
    <w:rsid w:val="000E6A30"/>
    <w:rsid w:val="000E751D"/>
    <w:rsid w:val="000F3453"/>
    <w:rsid w:val="000F42FB"/>
    <w:rsid w:val="000F5EA9"/>
    <w:rsid w:val="00102958"/>
    <w:rsid w:val="001041BB"/>
    <w:rsid w:val="0010474C"/>
    <w:rsid w:val="00104BC6"/>
    <w:rsid w:val="00106392"/>
    <w:rsid w:val="00106A77"/>
    <w:rsid w:val="001104F4"/>
    <w:rsid w:val="00110A8D"/>
    <w:rsid w:val="00111EDD"/>
    <w:rsid w:val="00112B6A"/>
    <w:rsid w:val="00113A07"/>
    <w:rsid w:val="001140B8"/>
    <w:rsid w:val="00114E2C"/>
    <w:rsid w:val="00120C7E"/>
    <w:rsid w:val="00121103"/>
    <w:rsid w:val="00122D29"/>
    <w:rsid w:val="0012595B"/>
    <w:rsid w:val="00126615"/>
    <w:rsid w:val="00126D51"/>
    <w:rsid w:val="00133525"/>
    <w:rsid w:val="001341D4"/>
    <w:rsid w:val="00137EE2"/>
    <w:rsid w:val="00141326"/>
    <w:rsid w:val="00142C17"/>
    <w:rsid w:val="00143126"/>
    <w:rsid w:val="001441A8"/>
    <w:rsid w:val="00144D61"/>
    <w:rsid w:val="00144D7A"/>
    <w:rsid w:val="00146540"/>
    <w:rsid w:val="00146BF3"/>
    <w:rsid w:val="0014707B"/>
    <w:rsid w:val="001476E2"/>
    <w:rsid w:val="001500E5"/>
    <w:rsid w:val="001507CE"/>
    <w:rsid w:val="00150FB2"/>
    <w:rsid w:val="001553DE"/>
    <w:rsid w:val="001578E2"/>
    <w:rsid w:val="00160A04"/>
    <w:rsid w:val="00162B22"/>
    <w:rsid w:val="00162BD3"/>
    <w:rsid w:val="001655BB"/>
    <w:rsid w:val="0016611C"/>
    <w:rsid w:val="00166B5C"/>
    <w:rsid w:val="00166F82"/>
    <w:rsid w:val="001676D1"/>
    <w:rsid w:val="00171090"/>
    <w:rsid w:val="00171900"/>
    <w:rsid w:val="00173669"/>
    <w:rsid w:val="0017381F"/>
    <w:rsid w:val="00174CA3"/>
    <w:rsid w:val="0017591E"/>
    <w:rsid w:val="00175D32"/>
    <w:rsid w:val="00176183"/>
    <w:rsid w:val="00177ADC"/>
    <w:rsid w:val="0018025B"/>
    <w:rsid w:val="00181118"/>
    <w:rsid w:val="0018140C"/>
    <w:rsid w:val="001815E8"/>
    <w:rsid w:val="001825F0"/>
    <w:rsid w:val="00183720"/>
    <w:rsid w:val="001841B1"/>
    <w:rsid w:val="00184AB9"/>
    <w:rsid w:val="00184EE5"/>
    <w:rsid w:val="0018540A"/>
    <w:rsid w:val="001856D4"/>
    <w:rsid w:val="00185E52"/>
    <w:rsid w:val="001938B6"/>
    <w:rsid w:val="00193D27"/>
    <w:rsid w:val="00195133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202"/>
    <w:rsid w:val="001A7772"/>
    <w:rsid w:val="001B2D20"/>
    <w:rsid w:val="001B3DBF"/>
    <w:rsid w:val="001B4701"/>
    <w:rsid w:val="001B7371"/>
    <w:rsid w:val="001B7504"/>
    <w:rsid w:val="001C21C3"/>
    <w:rsid w:val="001C62F8"/>
    <w:rsid w:val="001C65A6"/>
    <w:rsid w:val="001D02C2"/>
    <w:rsid w:val="001D1470"/>
    <w:rsid w:val="001D2827"/>
    <w:rsid w:val="001D2A82"/>
    <w:rsid w:val="001D5CA8"/>
    <w:rsid w:val="001D5CFB"/>
    <w:rsid w:val="001D67FE"/>
    <w:rsid w:val="001E08B8"/>
    <w:rsid w:val="001E145D"/>
    <w:rsid w:val="001E3074"/>
    <w:rsid w:val="001E3A12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06FE"/>
    <w:rsid w:val="00203D18"/>
    <w:rsid w:val="00204648"/>
    <w:rsid w:val="00205934"/>
    <w:rsid w:val="002077B7"/>
    <w:rsid w:val="00210031"/>
    <w:rsid w:val="0021021D"/>
    <w:rsid w:val="002107B1"/>
    <w:rsid w:val="002115E7"/>
    <w:rsid w:val="002121FB"/>
    <w:rsid w:val="00213295"/>
    <w:rsid w:val="00215B33"/>
    <w:rsid w:val="00215C07"/>
    <w:rsid w:val="0021744E"/>
    <w:rsid w:val="00217AE3"/>
    <w:rsid w:val="00217F77"/>
    <w:rsid w:val="00222762"/>
    <w:rsid w:val="0022541F"/>
    <w:rsid w:val="00226E52"/>
    <w:rsid w:val="00227765"/>
    <w:rsid w:val="00231349"/>
    <w:rsid w:val="002330A3"/>
    <w:rsid w:val="002334F0"/>
    <w:rsid w:val="00233650"/>
    <w:rsid w:val="002347A2"/>
    <w:rsid w:val="00234D70"/>
    <w:rsid w:val="00235F7A"/>
    <w:rsid w:val="002363C0"/>
    <w:rsid w:val="00242B97"/>
    <w:rsid w:val="0024384F"/>
    <w:rsid w:val="002450A4"/>
    <w:rsid w:val="002452AE"/>
    <w:rsid w:val="00245DFB"/>
    <w:rsid w:val="00247926"/>
    <w:rsid w:val="002504F0"/>
    <w:rsid w:val="00256995"/>
    <w:rsid w:val="00257410"/>
    <w:rsid w:val="002608DE"/>
    <w:rsid w:val="00261B7C"/>
    <w:rsid w:val="002627B4"/>
    <w:rsid w:val="002637C2"/>
    <w:rsid w:val="0026424E"/>
    <w:rsid w:val="00265F80"/>
    <w:rsid w:val="0026644D"/>
    <w:rsid w:val="00266DC0"/>
    <w:rsid w:val="002675F0"/>
    <w:rsid w:val="00271B31"/>
    <w:rsid w:val="00271FFB"/>
    <w:rsid w:val="002726BC"/>
    <w:rsid w:val="00274A90"/>
    <w:rsid w:val="00275D60"/>
    <w:rsid w:val="00276C70"/>
    <w:rsid w:val="00276EE4"/>
    <w:rsid w:val="00277172"/>
    <w:rsid w:val="00277585"/>
    <w:rsid w:val="00277626"/>
    <w:rsid w:val="0028039F"/>
    <w:rsid w:val="0028051A"/>
    <w:rsid w:val="0028193A"/>
    <w:rsid w:val="00284236"/>
    <w:rsid w:val="0028485D"/>
    <w:rsid w:val="00286917"/>
    <w:rsid w:val="0029079A"/>
    <w:rsid w:val="00291A2A"/>
    <w:rsid w:val="00295527"/>
    <w:rsid w:val="00296065"/>
    <w:rsid w:val="00296836"/>
    <w:rsid w:val="002A040F"/>
    <w:rsid w:val="002A07F2"/>
    <w:rsid w:val="002A195A"/>
    <w:rsid w:val="002A2A03"/>
    <w:rsid w:val="002A51BE"/>
    <w:rsid w:val="002A5F8F"/>
    <w:rsid w:val="002A6542"/>
    <w:rsid w:val="002A760E"/>
    <w:rsid w:val="002A797D"/>
    <w:rsid w:val="002B05B9"/>
    <w:rsid w:val="002B0805"/>
    <w:rsid w:val="002B0DFD"/>
    <w:rsid w:val="002B11CC"/>
    <w:rsid w:val="002B183B"/>
    <w:rsid w:val="002B1932"/>
    <w:rsid w:val="002B194A"/>
    <w:rsid w:val="002B1B99"/>
    <w:rsid w:val="002B20B0"/>
    <w:rsid w:val="002B36A1"/>
    <w:rsid w:val="002B3A19"/>
    <w:rsid w:val="002B4644"/>
    <w:rsid w:val="002B4DBD"/>
    <w:rsid w:val="002B592F"/>
    <w:rsid w:val="002B6339"/>
    <w:rsid w:val="002B6EF4"/>
    <w:rsid w:val="002C011F"/>
    <w:rsid w:val="002C029B"/>
    <w:rsid w:val="002C67E4"/>
    <w:rsid w:val="002C6BC6"/>
    <w:rsid w:val="002C79FA"/>
    <w:rsid w:val="002D2519"/>
    <w:rsid w:val="002D2B19"/>
    <w:rsid w:val="002D3298"/>
    <w:rsid w:val="002D405E"/>
    <w:rsid w:val="002D5BFE"/>
    <w:rsid w:val="002D6024"/>
    <w:rsid w:val="002D61E3"/>
    <w:rsid w:val="002E00EE"/>
    <w:rsid w:val="002E3322"/>
    <w:rsid w:val="002E4D11"/>
    <w:rsid w:val="002E7499"/>
    <w:rsid w:val="002E75F6"/>
    <w:rsid w:val="002F02FE"/>
    <w:rsid w:val="002F1ABA"/>
    <w:rsid w:val="002F4933"/>
    <w:rsid w:val="002F4F9E"/>
    <w:rsid w:val="002F7D49"/>
    <w:rsid w:val="00300CDB"/>
    <w:rsid w:val="00302B10"/>
    <w:rsid w:val="00302C30"/>
    <w:rsid w:val="0030430D"/>
    <w:rsid w:val="0030532E"/>
    <w:rsid w:val="00311180"/>
    <w:rsid w:val="003116BE"/>
    <w:rsid w:val="00313E2F"/>
    <w:rsid w:val="00314818"/>
    <w:rsid w:val="003172DC"/>
    <w:rsid w:val="003177CF"/>
    <w:rsid w:val="00322C5B"/>
    <w:rsid w:val="00324C31"/>
    <w:rsid w:val="00325108"/>
    <w:rsid w:val="00326BE2"/>
    <w:rsid w:val="00327934"/>
    <w:rsid w:val="00327D7A"/>
    <w:rsid w:val="003304FE"/>
    <w:rsid w:val="003317C8"/>
    <w:rsid w:val="003325B7"/>
    <w:rsid w:val="00335F34"/>
    <w:rsid w:val="00336EEA"/>
    <w:rsid w:val="00337FD8"/>
    <w:rsid w:val="0034052F"/>
    <w:rsid w:val="003438E2"/>
    <w:rsid w:val="0035086E"/>
    <w:rsid w:val="00350950"/>
    <w:rsid w:val="0035312E"/>
    <w:rsid w:val="0035389E"/>
    <w:rsid w:val="0035462D"/>
    <w:rsid w:val="00354C53"/>
    <w:rsid w:val="00360A06"/>
    <w:rsid w:val="00360AA0"/>
    <w:rsid w:val="00360BBA"/>
    <w:rsid w:val="00372A21"/>
    <w:rsid w:val="00375448"/>
    <w:rsid w:val="003765B8"/>
    <w:rsid w:val="00376B6D"/>
    <w:rsid w:val="003772E9"/>
    <w:rsid w:val="003802FA"/>
    <w:rsid w:val="00381DCA"/>
    <w:rsid w:val="00382642"/>
    <w:rsid w:val="00383036"/>
    <w:rsid w:val="00385F91"/>
    <w:rsid w:val="003865D1"/>
    <w:rsid w:val="0038672E"/>
    <w:rsid w:val="003869F7"/>
    <w:rsid w:val="0038702E"/>
    <w:rsid w:val="00390FFB"/>
    <w:rsid w:val="003929C6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0AD2"/>
    <w:rsid w:val="003A0C0F"/>
    <w:rsid w:val="003A51C7"/>
    <w:rsid w:val="003A580B"/>
    <w:rsid w:val="003A66C6"/>
    <w:rsid w:val="003B14E6"/>
    <w:rsid w:val="003B2900"/>
    <w:rsid w:val="003B468C"/>
    <w:rsid w:val="003B56B1"/>
    <w:rsid w:val="003B5C14"/>
    <w:rsid w:val="003B5CFC"/>
    <w:rsid w:val="003B61AB"/>
    <w:rsid w:val="003B75F3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BCD"/>
    <w:rsid w:val="003C7E3B"/>
    <w:rsid w:val="003D0F89"/>
    <w:rsid w:val="003D2EF2"/>
    <w:rsid w:val="003D4099"/>
    <w:rsid w:val="003D42C2"/>
    <w:rsid w:val="003D466B"/>
    <w:rsid w:val="003D7CB2"/>
    <w:rsid w:val="003E1D3F"/>
    <w:rsid w:val="003E29F3"/>
    <w:rsid w:val="003E3380"/>
    <w:rsid w:val="003E3B62"/>
    <w:rsid w:val="003E4798"/>
    <w:rsid w:val="003E6524"/>
    <w:rsid w:val="003E74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44F"/>
    <w:rsid w:val="003F760D"/>
    <w:rsid w:val="003F775D"/>
    <w:rsid w:val="00400684"/>
    <w:rsid w:val="004007D9"/>
    <w:rsid w:val="00401944"/>
    <w:rsid w:val="00401FA4"/>
    <w:rsid w:val="0040205D"/>
    <w:rsid w:val="00402A52"/>
    <w:rsid w:val="00403FF3"/>
    <w:rsid w:val="0040569B"/>
    <w:rsid w:val="0040649B"/>
    <w:rsid w:val="00407E20"/>
    <w:rsid w:val="00415661"/>
    <w:rsid w:val="004166A1"/>
    <w:rsid w:val="00416DC9"/>
    <w:rsid w:val="0041733B"/>
    <w:rsid w:val="00417EA8"/>
    <w:rsid w:val="00420E7C"/>
    <w:rsid w:val="00420FB8"/>
    <w:rsid w:val="00423334"/>
    <w:rsid w:val="00426737"/>
    <w:rsid w:val="0043242D"/>
    <w:rsid w:val="004345EC"/>
    <w:rsid w:val="00440181"/>
    <w:rsid w:val="00445A42"/>
    <w:rsid w:val="00447E0C"/>
    <w:rsid w:val="00451EFE"/>
    <w:rsid w:val="00452E79"/>
    <w:rsid w:val="004538F1"/>
    <w:rsid w:val="00453FBB"/>
    <w:rsid w:val="00453FE3"/>
    <w:rsid w:val="004540A9"/>
    <w:rsid w:val="00454293"/>
    <w:rsid w:val="0045717A"/>
    <w:rsid w:val="00463240"/>
    <w:rsid w:val="00463324"/>
    <w:rsid w:val="0046561C"/>
    <w:rsid w:val="004667DE"/>
    <w:rsid w:val="00470E29"/>
    <w:rsid w:val="004728B7"/>
    <w:rsid w:val="00472964"/>
    <w:rsid w:val="00472B98"/>
    <w:rsid w:val="00472C4E"/>
    <w:rsid w:val="00473C1A"/>
    <w:rsid w:val="00474C44"/>
    <w:rsid w:val="0047564A"/>
    <w:rsid w:val="00475AC6"/>
    <w:rsid w:val="0047610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3A70"/>
    <w:rsid w:val="00495736"/>
    <w:rsid w:val="00496BA8"/>
    <w:rsid w:val="004A1B75"/>
    <w:rsid w:val="004A1C51"/>
    <w:rsid w:val="004A3D27"/>
    <w:rsid w:val="004A48FA"/>
    <w:rsid w:val="004A5136"/>
    <w:rsid w:val="004A5DB3"/>
    <w:rsid w:val="004A6E04"/>
    <w:rsid w:val="004B10D0"/>
    <w:rsid w:val="004B3447"/>
    <w:rsid w:val="004B4E61"/>
    <w:rsid w:val="004B5861"/>
    <w:rsid w:val="004B5C7F"/>
    <w:rsid w:val="004C0E4C"/>
    <w:rsid w:val="004C15E6"/>
    <w:rsid w:val="004C1601"/>
    <w:rsid w:val="004C1615"/>
    <w:rsid w:val="004C2676"/>
    <w:rsid w:val="004C2761"/>
    <w:rsid w:val="004C6022"/>
    <w:rsid w:val="004C6974"/>
    <w:rsid w:val="004C72F9"/>
    <w:rsid w:val="004C7C52"/>
    <w:rsid w:val="004D0905"/>
    <w:rsid w:val="004D1389"/>
    <w:rsid w:val="004D28B5"/>
    <w:rsid w:val="004D2D6F"/>
    <w:rsid w:val="004D3578"/>
    <w:rsid w:val="004D35DC"/>
    <w:rsid w:val="004D412E"/>
    <w:rsid w:val="004D4395"/>
    <w:rsid w:val="004D4C55"/>
    <w:rsid w:val="004D5ADB"/>
    <w:rsid w:val="004D5ADE"/>
    <w:rsid w:val="004D5EB9"/>
    <w:rsid w:val="004D7D9D"/>
    <w:rsid w:val="004E0FCD"/>
    <w:rsid w:val="004E213A"/>
    <w:rsid w:val="004E2762"/>
    <w:rsid w:val="004E4D20"/>
    <w:rsid w:val="004E6A6B"/>
    <w:rsid w:val="004E77CF"/>
    <w:rsid w:val="004E7F91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4F7FAD"/>
    <w:rsid w:val="00500589"/>
    <w:rsid w:val="0050162A"/>
    <w:rsid w:val="00502D4C"/>
    <w:rsid w:val="00502D9B"/>
    <w:rsid w:val="00503413"/>
    <w:rsid w:val="005035B9"/>
    <w:rsid w:val="005038CA"/>
    <w:rsid w:val="00504DB3"/>
    <w:rsid w:val="00505504"/>
    <w:rsid w:val="00506C9D"/>
    <w:rsid w:val="00510297"/>
    <w:rsid w:val="0051276C"/>
    <w:rsid w:val="00512E97"/>
    <w:rsid w:val="00513CF2"/>
    <w:rsid w:val="005152B9"/>
    <w:rsid w:val="0052034A"/>
    <w:rsid w:val="005212D6"/>
    <w:rsid w:val="00523F59"/>
    <w:rsid w:val="00524E74"/>
    <w:rsid w:val="00526291"/>
    <w:rsid w:val="00526A6E"/>
    <w:rsid w:val="00527059"/>
    <w:rsid w:val="00527C02"/>
    <w:rsid w:val="005309AF"/>
    <w:rsid w:val="00530BAC"/>
    <w:rsid w:val="00531036"/>
    <w:rsid w:val="005310D2"/>
    <w:rsid w:val="00531552"/>
    <w:rsid w:val="0053388B"/>
    <w:rsid w:val="00534BE5"/>
    <w:rsid w:val="00534BF4"/>
    <w:rsid w:val="00535773"/>
    <w:rsid w:val="0054046B"/>
    <w:rsid w:val="00541809"/>
    <w:rsid w:val="00543E6C"/>
    <w:rsid w:val="00545F02"/>
    <w:rsid w:val="00547CB4"/>
    <w:rsid w:val="0055291B"/>
    <w:rsid w:val="00556D61"/>
    <w:rsid w:val="00560892"/>
    <w:rsid w:val="00563714"/>
    <w:rsid w:val="00565087"/>
    <w:rsid w:val="00565648"/>
    <w:rsid w:val="00567534"/>
    <w:rsid w:val="005710B2"/>
    <w:rsid w:val="00572E14"/>
    <w:rsid w:val="00572E94"/>
    <w:rsid w:val="0057381A"/>
    <w:rsid w:val="00575133"/>
    <w:rsid w:val="0057558C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3AD"/>
    <w:rsid w:val="005A252D"/>
    <w:rsid w:val="005A283F"/>
    <w:rsid w:val="005A3005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C6E42"/>
    <w:rsid w:val="005C7266"/>
    <w:rsid w:val="005C7420"/>
    <w:rsid w:val="005D0C87"/>
    <w:rsid w:val="005D2254"/>
    <w:rsid w:val="005D2BC8"/>
    <w:rsid w:val="005D2E01"/>
    <w:rsid w:val="005D4FFE"/>
    <w:rsid w:val="005D7526"/>
    <w:rsid w:val="005E1A8B"/>
    <w:rsid w:val="005E2982"/>
    <w:rsid w:val="005E318B"/>
    <w:rsid w:val="005E5A28"/>
    <w:rsid w:val="005E6516"/>
    <w:rsid w:val="005E66AC"/>
    <w:rsid w:val="005E69AE"/>
    <w:rsid w:val="005E71D6"/>
    <w:rsid w:val="005E7D87"/>
    <w:rsid w:val="005F23E7"/>
    <w:rsid w:val="005F28DB"/>
    <w:rsid w:val="005F381B"/>
    <w:rsid w:val="005F393C"/>
    <w:rsid w:val="005F39D5"/>
    <w:rsid w:val="005F7052"/>
    <w:rsid w:val="00600854"/>
    <w:rsid w:val="0060129F"/>
    <w:rsid w:val="00601677"/>
    <w:rsid w:val="006024D8"/>
    <w:rsid w:val="0060286A"/>
    <w:rsid w:val="00602AEA"/>
    <w:rsid w:val="0060438D"/>
    <w:rsid w:val="00606C90"/>
    <w:rsid w:val="006073EA"/>
    <w:rsid w:val="00607E3C"/>
    <w:rsid w:val="00614FDF"/>
    <w:rsid w:val="006151BD"/>
    <w:rsid w:val="00615F3B"/>
    <w:rsid w:val="00616A61"/>
    <w:rsid w:val="00620C82"/>
    <w:rsid w:val="006234AA"/>
    <w:rsid w:val="00623E06"/>
    <w:rsid w:val="00623F3E"/>
    <w:rsid w:val="00624566"/>
    <w:rsid w:val="006246A7"/>
    <w:rsid w:val="00625205"/>
    <w:rsid w:val="0062595A"/>
    <w:rsid w:val="006261A9"/>
    <w:rsid w:val="006301E8"/>
    <w:rsid w:val="0063355E"/>
    <w:rsid w:val="00634443"/>
    <w:rsid w:val="00634544"/>
    <w:rsid w:val="0063543D"/>
    <w:rsid w:val="0064068B"/>
    <w:rsid w:val="0064163A"/>
    <w:rsid w:val="006423F8"/>
    <w:rsid w:val="006445E1"/>
    <w:rsid w:val="00646F27"/>
    <w:rsid w:val="00647114"/>
    <w:rsid w:val="006508C7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58B1"/>
    <w:rsid w:val="0068290F"/>
    <w:rsid w:val="006847C4"/>
    <w:rsid w:val="0068530E"/>
    <w:rsid w:val="00685A25"/>
    <w:rsid w:val="00687D57"/>
    <w:rsid w:val="00694297"/>
    <w:rsid w:val="00694C21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1090"/>
    <w:rsid w:val="006B30D0"/>
    <w:rsid w:val="006B3962"/>
    <w:rsid w:val="006B546D"/>
    <w:rsid w:val="006B6969"/>
    <w:rsid w:val="006B75D8"/>
    <w:rsid w:val="006B7D57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633B"/>
    <w:rsid w:val="006D7B72"/>
    <w:rsid w:val="006E1ABB"/>
    <w:rsid w:val="006E5A69"/>
    <w:rsid w:val="006E5C86"/>
    <w:rsid w:val="006F137C"/>
    <w:rsid w:val="006F4A2D"/>
    <w:rsid w:val="006F5AA5"/>
    <w:rsid w:val="006F5C12"/>
    <w:rsid w:val="006F5CB7"/>
    <w:rsid w:val="00701A75"/>
    <w:rsid w:val="0070297F"/>
    <w:rsid w:val="00702C8C"/>
    <w:rsid w:val="00703FDB"/>
    <w:rsid w:val="00704EDC"/>
    <w:rsid w:val="0070556D"/>
    <w:rsid w:val="0070610A"/>
    <w:rsid w:val="00706226"/>
    <w:rsid w:val="00707E4B"/>
    <w:rsid w:val="00711CF9"/>
    <w:rsid w:val="00712430"/>
    <w:rsid w:val="00713C44"/>
    <w:rsid w:val="0071674C"/>
    <w:rsid w:val="00722D62"/>
    <w:rsid w:val="0072712F"/>
    <w:rsid w:val="00727A5D"/>
    <w:rsid w:val="007302D6"/>
    <w:rsid w:val="007312C2"/>
    <w:rsid w:val="0073307B"/>
    <w:rsid w:val="00733788"/>
    <w:rsid w:val="00733F92"/>
    <w:rsid w:val="00734564"/>
    <w:rsid w:val="00734A5B"/>
    <w:rsid w:val="0074026F"/>
    <w:rsid w:val="00740A8B"/>
    <w:rsid w:val="00740BC1"/>
    <w:rsid w:val="007429F6"/>
    <w:rsid w:val="00744E3A"/>
    <w:rsid w:val="00744E76"/>
    <w:rsid w:val="00746909"/>
    <w:rsid w:val="0074799B"/>
    <w:rsid w:val="0075000F"/>
    <w:rsid w:val="00752198"/>
    <w:rsid w:val="00752EC7"/>
    <w:rsid w:val="007534AC"/>
    <w:rsid w:val="00753881"/>
    <w:rsid w:val="007551EB"/>
    <w:rsid w:val="00756130"/>
    <w:rsid w:val="00757410"/>
    <w:rsid w:val="00760337"/>
    <w:rsid w:val="0076084E"/>
    <w:rsid w:val="00761355"/>
    <w:rsid w:val="00761CC0"/>
    <w:rsid w:val="00762B40"/>
    <w:rsid w:val="00762CEB"/>
    <w:rsid w:val="00763321"/>
    <w:rsid w:val="00764753"/>
    <w:rsid w:val="00764C7C"/>
    <w:rsid w:val="00765AB3"/>
    <w:rsid w:val="00765B58"/>
    <w:rsid w:val="00766D31"/>
    <w:rsid w:val="00766EB2"/>
    <w:rsid w:val="007725A2"/>
    <w:rsid w:val="00772955"/>
    <w:rsid w:val="00772FB5"/>
    <w:rsid w:val="00774D15"/>
    <w:rsid w:val="00774DA4"/>
    <w:rsid w:val="007756A0"/>
    <w:rsid w:val="00776634"/>
    <w:rsid w:val="00776849"/>
    <w:rsid w:val="00777975"/>
    <w:rsid w:val="007809E5"/>
    <w:rsid w:val="00781F0F"/>
    <w:rsid w:val="007833DA"/>
    <w:rsid w:val="00787683"/>
    <w:rsid w:val="007921F5"/>
    <w:rsid w:val="00792E76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1C86"/>
    <w:rsid w:val="007C5CD8"/>
    <w:rsid w:val="007C634B"/>
    <w:rsid w:val="007D12CB"/>
    <w:rsid w:val="007D1CA7"/>
    <w:rsid w:val="007D1E99"/>
    <w:rsid w:val="007D5A30"/>
    <w:rsid w:val="007D7EEC"/>
    <w:rsid w:val="007E0113"/>
    <w:rsid w:val="007E1E1E"/>
    <w:rsid w:val="007E20A7"/>
    <w:rsid w:val="007E27DA"/>
    <w:rsid w:val="007E2B43"/>
    <w:rsid w:val="007E33C8"/>
    <w:rsid w:val="007E3BEE"/>
    <w:rsid w:val="007E3F11"/>
    <w:rsid w:val="007E448B"/>
    <w:rsid w:val="007E4845"/>
    <w:rsid w:val="007E5AE9"/>
    <w:rsid w:val="007E5F0D"/>
    <w:rsid w:val="007E6354"/>
    <w:rsid w:val="007E6747"/>
    <w:rsid w:val="007E7CB6"/>
    <w:rsid w:val="007F0F4A"/>
    <w:rsid w:val="007F1CFA"/>
    <w:rsid w:val="007F2042"/>
    <w:rsid w:val="007F221E"/>
    <w:rsid w:val="007F5061"/>
    <w:rsid w:val="007F57DE"/>
    <w:rsid w:val="007F5D46"/>
    <w:rsid w:val="00802493"/>
    <w:rsid w:val="008028A4"/>
    <w:rsid w:val="00802B8D"/>
    <w:rsid w:val="00802C23"/>
    <w:rsid w:val="00802CC2"/>
    <w:rsid w:val="00805884"/>
    <w:rsid w:val="00806E29"/>
    <w:rsid w:val="00811DA5"/>
    <w:rsid w:val="00814664"/>
    <w:rsid w:val="00814EEB"/>
    <w:rsid w:val="008151F1"/>
    <w:rsid w:val="00815455"/>
    <w:rsid w:val="00816547"/>
    <w:rsid w:val="00816E79"/>
    <w:rsid w:val="0081783A"/>
    <w:rsid w:val="00817A65"/>
    <w:rsid w:val="00820B25"/>
    <w:rsid w:val="00820E2A"/>
    <w:rsid w:val="00823EC7"/>
    <w:rsid w:val="008246AB"/>
    <w:rsid w:val="0082493D"/>
    <w:rsid w:val="00825EDF"/>
    <w:rsid w:val="00830747"/>
    <w:rsid w:val="00832AA2"/>
    <w:rsid w:val="0083481A"/>
    <w:rsid w:val="0083755B"/>
    <w:rsid w:val="00840DCA"/>
    <w:rsid w:val="008454C5"/>
    <w:rsid w:val="00850AF5"/>
    <w:rsid w:val="00850D6A"/>
    <w:rsid w:val="00850FBE"/>
    <w:rsid w:val="00851681"/>
    <w:rsid w:val="0085227D"/>
    <w:rsid w:val="00852D30"/>
    <w:rsid w:val="00854543"/>
    <w:rsid w:val="00854C13"/>
    <w:rsid w:val="0085666A"/>
    <w:rsid w:val="00856EF6"/>
    <w:rsid w:val="008600C1"/>
    <w:rsid w:val="00863A8A"/>
    <w:rsid w:val="00864ED2"/>
    <w:rsid w:val="008677DA"/>
    <w:rsid w:val="00870EB0"/>
    <w:rsid w:val="008760D1"/>
    <w:rsid w:val="008768CA"/>
    <w:rsid w:val="0087770B"/>
    <w:rsid w:val="00877A40"/>
    <w:rsid w:val="0088066C"/>
    <w:rsid w:val="00880716"/>
    <w:rsid w:val="00880889"/>
    <w:rsid w:val="00881ECF"/>
    <w:rsid w:val="00882CF3"/>
    <w:rsid w:val="00884355"/>
    <w:rsid w:val="00885446"/>
    <w:rsid w:val="008855B9"/>
    <w:rsid w:val="00885A3C"/>
    <w:rsid w:val="00886F35"/>
    <w:rsid w:val="0088727A"/>
    <w:rsid w:val="0088795D"/>
    <w:rsid w:val="00887BEA"/>
    <w:rsid w:val="0089062C"/>
    <w:rsid w:val="0089137B"/>
    <w:rsid w:val="00893E1A"/>
    <w:rsid w:val="00894406"/>
    <w:rsid w:val="00895E23"/>
    <w:rsid w:val="008979DE"/>
    <w:rsid w:val="00897B5F"/>
    <w:rsid w:val="008A07D9"/>
    <w:rsid w:val="008A3527"/>
    <w:rsid w:val="008A5F18"/>
    <w:rsid w:val="008A78FF"/>
    <w:rsid w:val="008A7C26"/>
    <w:rsid w:val="008B1D62"/>
    <w:rsid w:val="008B4249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C6C35"/>
    <w:rsid w:val="008D0A3B"/>
    <w:rsid w:val="008D4262"/>
    <w:rsid w:val="008D4F18"/>
    <w:rsid w:val="008D55A3"/>
    <w:rsid w:val="008D7038"/>
    <w:rsid w:val="008D74FE"/>
    <w:rsid w:val="008D7883"/>
    <w:rsid w:val="008D7C1F"/>
    <w:rsid w:val="008E2413"/>
    <w:rsid w:val="008E290E"/>
    <w:rsid w:val="008E75A4"/>
    <w:rsid w:val="008E7986"/>
    <w:rsid w:val="008E7B99"/>
    <w:rsid w:val="008F0C7D"/>
    <w:rsid w:val="008F29A8"/>
    <w:rsid w:val="008F5522"/>
    <w:rsid w:val="008F565C"/>
    <w:rsid w:val="008F626A"/>
    <w:rsid w:val="008F6DC9"/>
    <w:rsid w:val="0090048D"/>
    <w:rsid w:val="0090271F"/>
    <w:rsid w:val="00902846"/>
    <w:rsid w:val="00902E23"/>
    <w:rsid w:val="00907543"/>
    <w:rsid w:val="00910169"/>
    <w:rsid w:val="0091018D"/>
    <w:rsid w:val="009114D7"/>
    <w:rsid w:val="00911898"/>
    <w:rsid w:val="0091348E"/>
    <w:rsid w:val="009142F5"/>
    <w:rsid w:val="0091435F"/>
    <w:rsid w:val="00914B4B"/>
    <w:rsid w:val="00916637"/>
    <w:rsid w:val="00917334"/>
    <w:rsid w:val="00917CCB"/>
    <w:rsid w:val="00921018"/>
    <w:rsid w:val="00921E71"/>
    <w:rsid w:val="00924C53"/>
    <w:rsid w:val="00926CD9"/>
    <w:rsid w:val="00927F22"/>
    <w:rsid w:val="00930919"/>
    <w:rsid w:val="0093165E"/>
    <w:rsid w:val="00931C3C"/>
    <w:rsid w:val="00932C2A"/>
    <w:rsid w:val="00934C80"/>
    <w:rsid w:val="00935136"/>
    <w:rsid w:val="0093559B"/>
    <w:rsid w:val="009357CD"/>
    <w:rsid w:val="00935CDD"/>
    <w:rsid w:val="009372B5"/>
    <w:rsid w:val="00940254"/>
    <w:rsid w:val="009422F1"/>
    <w:rsid w:val="00942993"/>
    <w:rsid w:val="00942E12"/>
    <w:rsid w:val="00942EC2"/>
    <w:rsid w:val="00943CE5"/>
    <w:rsid w:val="00943F71"/>
    <w:rsid w:val="00944FCC"/>
    <w:rsid w:val="009459D9"/>
    <w:rsid w:val="0094625B"/>
    <w:rsid w:val="00947C76"/>
    <w:rsid w:val="009501FD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6D29"/>
    <w:rsid w:val="009675A5"/>
    <w:rsid w:val="00971777"/>
    <w:rsid w:val="00972C7E"/>
    <w:rsid w:val="009733BF"/>
    <w:rsid w:val="009751F6"/>
    <w:rsid w:val="0097550C"/>
    <w:rsid w:val="00976330"/>
    <w:rsid w:val="00980D27"/>
    <w:rsid w:val="00981E36"/>
    <w:rsid w:val="009825B5"/>
    <w:rsid w:val="00982A84"/>
    <w:rsid w:val="0098313D"/>
    <w:rsid w:val="00983928"/>
    <w:rsid w:val="0098396D"/>
    <w:rsid w:val="009848DB"/>
    <w:rsid w:val="00987E57"/>
    <w:rsid w:val="00991963"/>
    <w:rsid w:val="0099295E"/>
    <w:rsid w:val="009929FF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4165"/>
    <w:rsid w:val="009B51F8"/>
    <w:rsid w:val="009B6177"/>
    <w:rsid w:val="009C0489"/>
    <w:rsid w:val="009C0F0C"/>
    <w:rsid w:val="009C2313"/>
    <w:rsid w:val="009C327F"/>
    <w:rsid w:val="009C3639"/>
    <w:rsid w:val="009C39CA"/>
    <w:rsid w:val="009C4F99"/>
    <w:rsid w:val="009C58C3"/>
    <w:rsid w:val="009C5F8E"/>
    <w:rsid w:val="009C66C6"/>
    <w:rsid w:val="009C6D92"/>
    <w:rsid w:val="009D2B95"/>
    <w:rsid w:val="009D4870"/>
    <w:rsid w:val="009D528F"/>
    <w:rsid w:val="009D6C9C"/>
    <w:rsid w:val="009D6EC2"/>
    <w:rsid w:val="009E21E8"/>
    <w:rsid w:val="009E23D5"/>
    <w:rsid w:val="009E342E"/>
    <w:rsid w:val="009E5073"/>
    <w:rsid w:val="009E5E7E"/>
    <w:rsid w:val="009E643A"/>
    <w:rsid w:val="009E7DA3"/>
    <w:rsid w:val="009F2575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5AD4"/>
    <w:rsid w:val="00A06503"/>
    <w:rsid w:val="00A06A32"/>
    <w:rsid w:val="00A06AAF"/>
    <w:rsid w:val="00A06F4F"/>
    <w:rsid w:val="00A07BCF"/>
    <w:rsid w:val="00A102F2"/>
    <w:rsid w:val="00A10F02"/>
    <w:rsid w:val="00A117D6"/>
    <w:rsid w:val="00A13BCD"/>
    <w:rsid w:val="00A13C2E"/>
    <w:rsid w:val="00A14182"/>
    <w:rsid w:val="00A14831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32E8"/>
    <w:rsid w:val="00A2379D"/>
    <w:rsid w:val="00A241EF"/>
    <w:rsid w:val="00A2507D"/>
    <w:rsid w:val="00A26248"/>
    <w:rsid w:val="00A26286"/>
    <w:rsid w:val="00A26956"/>
    <w:rsid w:val="00A3009E"/>
    <w:rsid w:val="00A31634"/>
    <w:rsid w:val="00A32280"/>
    <w:rsid w:val="00A334E3"/>
    <w:rsid w:val="00A3359B"/>
    <w:rsid w:val="00A34836"/>
    <w:rsid w:val="00A359A1"/>
    <w:rsid w:val="00A41830"/>
    <w:rsid w:val="00A41BE4"/>
    <w:rsid w:val="00A517B0"/>
    <w:rsid w:val="00A51810"/>
    <w:rsid w:val="00A52486"/>
    <w:rsid w:val="00A53724"/>
    <w:rsid w:val="00A542F7"/>
    <w:rsid w:val="00A5609E"/>
    <w:rsid w:val="00A625A6"/>
    <w:rsid w:val="00A64157"/>
    <w:rsid w:val="00A64488"/>
    <w:rsid w:val="00A649E7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6D"/>
    <w:rsid w:val="00A75977"/>
    <w:rsid w:val="00A820FB"/>
    <w:rsid w:val="00A82166"/>
    <w:rsid w:val="00A82346"/>
    <w:rsid w:val="00A83518"/>
    <w:rsid w:val="00A8638F"/>
    <w:rsid w:val="00A9004D"/>
    <w:rsid w:val="00A90F13"/>
    <w:rsid w:val="00A91B94"/>
    <w:rsid w:val="00A92BA1"/>
    <w:rsid w:val="00A942A3"/>
    <w:rsid w:val="00A942D0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5A96"/>
    <w:rsid w:val="00AB7038"/>
    <w:rsid w:val="00AB7D8C"/>
    <w:rsid w:val="00AC0150"/>
    <w:rsid w:val="00AC3007"/>
    <w:rsid w:val="00AC3CC6"/>
    <w:rsid w:val="00AC541B"/>
    <w:rsid w:val="00AC56C6"/>
    <w:rsid w:val="00AC5847"/>
    <w:rsid w:val="00AC6BC6"/>
    <w:rsid w:val="00AD0936"/>
    <w:rsid w:val="00AD256E"/>
    <w:rsid w:val="00AD32E7"/>
    <w:rsid w:val="00AD4D49"/>
    <w:rsid w:val="00AD5F64"/>
    <w:rsid w:val="00AD617D"/>
    <w:rsid w:val="00AE151F"/>
    <w:rsid w:val="00AE2B15"/>
    <w:rsid w:val="00AE3797"/>
    <w:rsid w:val="00AE4698"/>
    <w:rsid w:val="00AE60AB"/>
    <w:rsid w:val="00AE6823"/>
    <w:rsid w:val="00AE6EE4"/>
    <w:rsid w:val="00AF1267"/>
    <w:rsid w:val="00AF1B75"/>
    <w:rsid w:val="00AF2977"/>
    <w:rsid w:val="00AF7379"/>
    <w:rsid w:val="00AF7AB0"/>
    <w:rsid w:val="00B0024C"/>
    <w:rsid w:val="00B00BD4"/>
    <w:rsid w:val="00B01A98"/>
    <w:rsid w:val="00B037D2"/>
    <w:rsid w:val="00B03E8E"/>
    <w:rsid w:val="00B04308"/>
    <w:rsid w:val="00B067E0"/>
    <w:rsid w:val="00B10B01"/>
    <w:rsid w:val="00B128FD"/>
    <w:rsid w:val="00B12B07"/>
    <w:rsid w:val="00B1390A"/>
    <w:rsid w:val="00B13E20"/>
    <w:rsid w:val="00B14CCF"/>
    <w:rsid w:val="00B150E6"/>
    <w:rsid w:val="00B15449"/>
    <w:rsid w:val="00B15488"/>
    <w:rsid w:val="00B15FE6"/>
    <w:rsid w:val="00B160F5"/>
    <w:rsid w:val="00B16E7C"/>
    <w:rsid w:val="00B220C1"/>
    <w:rsid w:val="00B224FC"/>
    <w:rsid w:val="00B2448D"/>
    <w:rsid w:val="00B24EBC"/>
    <w:rsid w:val="00B2568A"/>
    <w:rsid w:val="00B27D0B"/>
    <w:rsid w:val="00B31CAA"/>
    <w:rsid w:val="00B3227E"/>
    <w:rsid w:val="00B3241C"/>
    <w:rsid w:val="00B34C43"/>
    <w:rsid w:val="00B35505"/>
    <w:rsid w:val="00B36A7D"/>
    <w:rsid w:val="00B37188"/>
    <w:rsid w:val="00B37C70"/>
    <w:rsid w:val="00B4292E"/>
    <w:rsid w:val="00B44F81"/>
    <w:rsid w:val="00B45F97"/>
    <w:rsid w:val="00B471EA"/>
    <w:rsid w:val="00B50264"/>
    <w:rsid w:val="00B504F7"/>
    <w:rsid w:val="00B5178A"/>
    <w:rsid w:val="00B51CDC"/>
    <w:rsid w:val="00B5302C"/>
    <w:rsid w:val="00B53697"/>
    <w:rsid w:val="00B55583"/>
    <w:rsid w:val="00B56C27"/>
    <w:rsid w:val="00B6070A"/>
    <w:rsid w:val="00B646A5"/>
    <w:rsid w:val="00B65A49"/>
    <w:rsid w:val="00B72AF3"/>
    <w:rsid w:val="00B76FBB"/>
    <w:rsid w:val="00B804A1"/>
    <w:rsid w:val="00B85936"/>
    <w:rsid w:val="00B863E2"/>
    <w:rsid w:val="00B9016C"/>
    <w:rsid w:val="00B92829"/>
    <w:rsid w:val="00B92FE4"/>
    <w:rsid w:val="00B93086"/>
    <w:rsid w:val="00B962C7"/>
    <w:rsid w:val="00B9657C"/>
    <w:rsid w:val="00BA19ED"/>
    <w:rsid w:val="00BA2585"/>
    <w:rsid w:val="00BA299D"/>
    <w:rsid w:val="00BA2A3F"/>
    <w:rsid w:val="00BA300B"/>
    <w:rsid w:val="00BA3C49"/>
    <w:rsid w:val="00BA4B8D"/>
    <w:rsid w:val="00BA50B0"/>
    <w:rsid w:val="00BA5F24"/>
    <w:rsid w:val="00BB661C"/>
    <w:rsid w:val="00BB7442"/>
    <w:rsid w:val="00BC0F7D"/>
    <w:rsid w:val="00BC179E"/>
    <w:rsid w:val="00BC201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28A6"/>
    <w:rsid w:val="00BD4E13"/>
    <w:rsid w:val="00BD5C78"/>
    <w:rsid w:val="00BD629A"/>
    <w:rsid w:val="00BD62F1"/>
    <w:rsid w:val="00BD69E7"/>
    <w:rsid w:val="00BD7171"/>
    <w:rsid w:val="00BD784E"/>
    <w:rsid w:val="00BD7C56"/>
    <w:rsid w:val="00BE08EF"/>
    <w:rsid w:val="00BE1A7C"/>
    <w:rsid w:val="00BE3255"/>
    <w:rsid w:val="00BE4DF0"/>
    <w:rsid w:val="00BE5078"/>
    <w:rsid w:val="00BF01FB"/>
    <w:rsid w:val="00BF095A"/>
    <w:rsid w:val="00BF128E"/>
    <w:rsid w:val="00BF1591"/>
    <w:rsid w:val="00BF4C3B"/>
    <w:rsid w:val="00BF6574"/>
    <w:rsid w:val="00BF692E"/>
    <w:rsid w:val="00BF6CE4"/>
    <w:rsid w:val="00BF7943"/>
    <w:rsid w:val="00C00555"/>
    <w:rsid w:val="00C00E04"/>
    <w:rsid w:val="00C010CD"/>
    <w:rsid w:val="00C0203B"/>
    <w:rsid w:val="00C0292C"/>
    <w:rsid w:val="00C02C9B"/>
    <w:rsid w:val="00C04A93"/>
    <w:rsid w:val="00C059F9"/>
    <w:rsid w:val="00C05CE0"/>
    <w:rsid w:val="00C0629C"/>
    <w:rsid w:val="00C0777A"/>
    <w:rsid w:val="00C079CE"/>
    <w:rsid w:val="00C12D2F"/>
    <w:rsid w:val="00C1496A"/>
    <w:rsid w:val="00C16008"/>
    <w:rsid w:val="00C1711F"/>
    <w:rsid w:val="00C17557"/>
    <w:rsid w:val="00C17BF7"/>
    <w:rsid w:val="00C2036A"/>
    <w:rsid w:val="00C237C4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4751A"/>
    <w:rsid w:val="00C5093D"/>
    <w:rsid w:val="00C50995"/>
    <w:rsid w:val="00C509CE"/>
    <w:rsid w:val="00C50DF3"/>
    <w:rsid w:val="00C53DE8"/>
    <w:rsid w:val="00C54C23"/>
    <w:rsid w:val="00C54E52"/>
    <w:rsid w:val="00C5522B"/>
    <w:rsid w:val="00C573FC"/>
    <w:rsid w:val="00C575E9"/>
    <w:rsid w:val="00C57E50"/>
    <w:rsid w:val="00C61895"/>
    <w:rsid w:val="00C628BE"/>
    <w:rsid w:val="00C64182"/>
    <w:rsid w:val="00C6701F"/>
    <w:rsid w:val="00C677C1"/>
    <w:rsid w:val="00C67AD0"/>
    <w:rsid w:val="00C71DA1"/>
    <w:rsid w:val="00C72833"/>
    <w:rsid w:val="00C74FF0"/>
    <w:rsid w:val="00C75321"/>
    <w:rsid w:val="00C7582B"/>
    <w:rsid w:val="00C76BB0"/>
    <w:rsid w:val="00C77CBD"/>
    <w:rsid w:val="00C80F1D"/>
    <w:rsid w:val="00C81197"/>
    <w:rsid w:val="00C826FE"/>
    <w:rsid w:val="00C84C0F"/>
    <w:rsid w:val="00C86E11"/>
    <w:rsid w:val="00C86FF3"/>
    <w:rsid w:val="00C87227"/>
    <w:rsid w:val="00C90E0A"/>
    <w:rsid w:val="00C90FE2"/>
    <w:rsid w:val="00C91F36"/>
    <w:rsid w:val="00C926E0"/>
    <w:rsid w:val="00C92A14"/>
    <w:rsid w:val="00C92A96"/>
    <w:rsid w:val="00C92B00"/>
    <w:rsid w:val="00C93A32"/>
    <w:rsid w:val="00C93F40"/>
    <w:rsid w:val="00C94ACC"/>
    <w:rsid w:val="00C97868"/>
    <w:rsid w:val="00C97EE8"/>
    <w:rsid w:val="00CA146F"/>
    <w:rsid w:val="00CA151B"/>
    <w:rsid w:val="00CA2622"/>
    <w:rsid w:val="00CA3B29"/>
    <w:rsid w:val="00CA3D0C"/>
    <w:rsid w:val="00CA41F0"/>
    <w:rsid w:val="00CA4213"/>
    <w:rsid w:val="00CA4670"/>
    <w:rsid w:val="00CA48A1"/>
    <w:rsid w:val="00CA510C"/>
    <w:rsid w:val="00CA510E"/>
    <w:rsid w:val="00CA53AC"/>
    <w:rsid w:val="00CB2D58"/>
    <w:rsid w:val="00CB3534"/>
    <w:rsid w:val="00CB45A1"/>
    <w:rsid w:val="00CB69DE"/>
    <w:rsid w:val="00CB7AD0"/>
    <w:rsid w:val="00CB7EFC"/>
    <w:rsid w:val="00CC030E"/>
    <w:rsid w:val="00CC0B80"/>
    <w:rsid w:val="00CC1BA0"/>
    <w:rsid w:val="00CC3116"/>
    <w:rsid w:val="00CC3947"/>
    <w:rsid w:val="00CC3FFD"/>
    <w:rsid w:val="00CC56EA"/>
    <w:rsid w:val="00CC5BE3"/>
    <w:rsid w:val="00CD15E7"/>
    <w:rsid w:val="00CD1AAF"/>
    <w:rsid w:val="00CD398D"/>
    <w:rsid w:val="00CD5CF4"/>
    <w:rsid w:val="00CE0B91"/>
    <w:rsid w:val="00CE1748"/>
    <w:rsid w:val="00CE1B41"/>
    <w:rsid w:val="00CE1D47"/>
    <w:rsid w:val="00CE2F48"/>
    <w:rsid w:val="00CE4FD5"/>
    <w:rsid w:val="00CE608B"/>
    <w:rsid w:val="00CE6614"/>
    <w:rsid w:val="00CE6DD7"/>
    <w:rsid w:val="00CF054E"/>
    <w:rsid w:val="00CF20E3"/>
    <w:rsid w:val="00CF30A9"/>
    <w:rsid w:val="00CF3841"/>
    <w:rsid w:val="00CF620C"/>
    <w:rsid w:val="00CF65B5"/>
    <w:rsid w:val="00D00BA3"/>
    <w:rsid w:val="00D05335"/>
    <w:rsid w:val="00D05C22"/>
    <w:rsid w:val="00D07B82"/>
    <w:rsid w:val="00D1495D"/>
    <w:rsid w:val="00D165A8"/>
    <w:rsid w:val="00D16BB2"/>
    <w:rsid w:val="00D17EB6"/>
    <w:rsid w:val="00D20C25"/>
    <w:rsid w:val="00D21661"/>
    <w:rsid w:val="00D22187"/>
    <w:rsid w:val="00D22803"/>
    <w:rsid w:val="00D237ED"/>
    <w:rsid w:val="00D238B2"/>
    <w:rsid w:val="00D23A6D"/>
    <w:rsid w:val="00D23F96"/>
    <w:rsid w:val="00D2683C"/>
    <w:rsid w:val="00D309CC"/>
    <w:rsid w:val="00D32320"/>
    <w:rsid w:val="00D324F9"/>
    <w:rsid w:val="00D33957"/>
    <w:rsid w:val="00D35FEF"/>
    <w:rsid w:val="00D4156E"/>
    <w:rsid w:val="00D41D01"/>
    <w:rsid w:val="00D438FA"/>
    <w:rsid w:val="00D4587A"/>
    <w:rsid w:val="00D463D6"/>
    <w:rsid w:val="00D46431"/>
    <w:rsid w:val="00D46607"/>
    <w:rsid w:val="00D47831"/>
    <w:rsid w:val="00D51087"/>
    <w:rsid w:val="00D555DA"/>
    <w:rsid w:val="00D56A52"/>
    <w:rsid w:val="00D57972"/>
    <w:rsid w:val="00D603CA"/>
    <w:rsid w:val="00D62743"/>
    <w:rsid w:val="00D63135"/>
    <w:rsid w:val="00D647B5"/>
    <w:rsid w:val="00D653C6"/>
    <w:rsid w:val="00D6592A"/>
    <w:rsid w:val="00D6617E"/>
    <w:rsid w:val="00D675A9"/>
    <w:rsid w:val="00D67D1F"/>
    <w:rsid w:val="00D70A38"/>
    <w:rsid w:val="00D71468"/>
    <w:rsid w:val="00D71786"/>
    <w:rsid w:val="00D725F4"/>
    <w:rsid w:val="00D73555"/>
    <w:rsid w:val="00D738D6"/>
    <w:rsid w:val="00D74B53"/>
    <w:rsid w:val="00D74E7B"/>
    <w:rsid w:val="00D755EB"/>
    <w:rsid w:val="00D80235"/>
    <w:rsid w:val="00D8086A"/>
    <w:rsid w:val="00D81B4C"/>
    <w:rsid w:val="00D822AE"/>
    <w:rsid w:val="00D83D56"/>
    <w:rsid w:val="00D84D58"/>
    <w:rsid w:val="00D8507E"/>
    <w:rsid w:val="00D87CEF"/>
    <w:rsid w:val="00D87E00"/>
    <w:rsid w:val="00D90060"/>
    <w:rsid w:val="00D91258"/>
    <w:rsid w:val="00D9134D"/>
    <w:rsid w:val="00D92E1E"/>
    <w:rsid w:val="00D93D6A"/>
    <w:rsid w:val="00D94AC9"/>
    <w:rsid w:val="00D962C5"/>
    <w:rsid w:val="00D967A2"/>
    <w:rsid w:val="00D975F5"/>
    <w:rsid w:val="00D97761"/>
    <w:rsid w:val="00D97CE6"/>
    <w:rsid w:val="00DA3B10"/>
    <w:rsid w:val="00DA3C0D"/>
    <w:rsid w:val="00DA4E3C"/>
    <w:rsid w:val="00DA7A03"/>
    <w:rsid w:val="00DB06CF"/>
    <w:rsid w:val="00DB0AB1"/>
    <w:rsid w:val="00DB0BC8"/>
    <w:rsid w:val="00DB1818"/>
    <w:rsid w:val="00DB26B1"/>
    <w:rsid w:val="00DB349A"/>
    <w:rsid w:val="00DB4052"/>
    <w:rsid w:val="00DB5DA1"/>
    <w:rsid w:val="00DB76DB"/>
    <w:rsid w:val="00DB79F7"/>
    <w:rsid w:val="00DB7C12"/>
    <w:rsid w:val="00DC309B"/>
    <w:rsid w:val="00DC353B"/>
    <w:rsid w:val="00DC4DA2"/>
    <w:rsid w:val="00DD07AA"/>
    <w:rsid w:val="00DD48CA"/>
    <w:rsid w:val="00DD4C17"/>
    <w:rsid w:val="00DD4D52"/>
    <w:rsid w:val="00DD5B2B"/>
    <w:rsid w:val="00DD6E9C"/>
    <w:rsid w:val="00DD7FAC"/>
    <w:rsid w:val="00DE0297"/>
    <w:rsid w:val="00DE0507"/>
    <w:rsid w:val="00DE0987"/>
    <w:rsid w:val="00DE1BDE"/>
    <w:rsid w:val="00DE227C"/>
    <w:rsid w:val="00DE4574"/>
    <w:rsid w:val="00DE55C3"/>
    <w:rsid w:val="00DE69C6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3AA2"/>
    <w:rsid w:val="00E0431F"/>
    <w:rsid w:val="00E05ABC"/>
    <w:rsid w:val="00E06316"/>
    <w:rsid w:val="00E07A70"/>
    <w:rsid w:val="00E07AA3"/>
    <w:rsid w:val="00E114A9"/>
    <w:rsid w:val="00E13F78"/>
    <w:rsid w:val="00E16509"/>
    <w:rsid w:val="00E167A5"/>
    <w:rsid w:val="00E16985"/>
    <w:rsid w:val="00E177DE"/>
    <w:rsid w:val="00E21610"/>
    <w:rsid w:val="00E22051"/>
    <w:rsid w:val="00E234BB"/>
    <w:rsid w:val="00E235DB"/>
    <w:rsid w:val="00E23661"/>
    <w:rsid w:val="00E2376C"/>
    <w:rsid w:val="00E23E7C"/>
    <w:rsid w:val="00E2413E"/>
    <w:rsid w:val="00E24513"/>
    <w:rsid w:val="00E25585"/>
    <w:rsid w:val="00E30CC7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6A3C"/>
    <w:rsid w:val="00E471F4"/>
    <w:rsid w:val="00E50F5D"/>
    <w:rsid w:val="00E513C1"/>
    <w:rsid w:val="00E52814"/>
    <w:rsid w:val="00E54B95"/>
    <w:rsid w:val="00E62D5A"/>
    <w:rsid w:val="00E64596"/>
    <w:rsid w:val="00E6485D"/>
    <w:rsid w:val="00E670E7"/>
    <w:rsid w:val="00E672B0"/>
    <w:rsid w:val="00E709D4"/>
    <w:rsid w:val="00E72324"/>
    <w:rsid w:val="00E725DD"/>
    <w:rsid w:val="00E72ABE"/>
    <w:rsid w:val="00E73578"/>
    <w:rsid w:val="00E74333"/>
    <w:rsid w:val="00E74B5D"/>
    <w:rsid w:val="00E77645"/>
    <w:rsid w:val="00E80040"/>
    <w:rsid w:val="00E808A6"/>
    <w:rsid w:val="00E828D4"/>
    <w:rsid w:val="00E853F2"/>
    <w:rsid w:val="00E861A6"/>
    <w:rsid w:val="00E922FE"/>
    <w:rsid w:val="00E95F5E"/>
    <w:rsid w:val="00E963F7"/>
    <w:rsid w:val="00E97F17"/>
    <w:rsid w:val="00EA4492"/>
    <w:rsid w:val="00EA4AD5"/>
    <w:rsid w:val="00EA67D7"/>
    <w:rsid w:val="00EB061A"/>
    <w:rsid w:val="00EB1120"/>
    <w:rsid w:val="00EB1575"/>
    <w:rsid w:val="00EB271D"/>
    <w:rsid w:val="00EB291F"/>
    <w:rsid w:val="00EB36BA"/>
    <w:rsid w:val="00EB7E28"/>
    <w:rsid w:val="00EC14B1"/>
    <w:rsid w:val="00EC17AD"/>
    <w:rsid w:val="00EC24D5"/>
    <w:rsid w:val="00EC25E7"/>
    <w:rsid w:val="00EC3927"/>
    <w:rsid w:val="00EC4847"/>
    <w:rsid w:val="00EC4A25"/>
    <w:rsid w:val="00EC4F16"/>
    <w:rsid w:val="00EC54B2"/>
    <w:rsid w:val="00EC55DC"/>
    <w:rsid w:val="00EC6AC3"/>
    <w:rsid w:val="00EC7246"/>
    <w:rsid w:val="00ED4A60"/>
    <w:rsid w:val="00ED729A"/>
    <w:rsid w:val="00EE0137"/>
    <w:rsid w:val="00EE0B97"/>
    <w:rsid w:val="00EE16B7"/>
    <w:rsid w:val="00EE2ECB"/>
    <w:rsid w:val="00EE35F1"/>
    <w:rsid w:val="00EE4122"/>
    <w:rsid w:val="00EE5AA7"/>
    <w:rsid w:val="00EE683F"/>
    <w:rsid w:val="00EE7844"/>
    <w:rsid w:val="00EF1417"/>
    <w:rsid w:val="00EF2D8D"/>
    <w:rsid w:val="00EF3A0C"/>
    <w:rsid w:val="00EF434A"/>
    <w:rsid w:val="00EF4EB7"/>
    <w:rsid w:val="00EF6BAF"/>
    <w:rsid w:val="00EF70F3"/>
    <w:rsid w:val="00F00E34"/>
    <w:rsid w:val="00F00FF8"/>
    <w:rsid w:val="00F01F22"/>
    <w:rsid w:val="00F01F84"/>
    <w:rsid w:val="00F025A2"/>
    <w:rsid w:val="00F02751"/>
    <w:rsid w:val="00F02869"/>
    <w:rsid w:val="00F03CA7"/>
    <w:rsid w:val="00F04712"/>
    <w:rsid w:val="00F047F8"/>
    <w:rsid w:val="00F06C24"/>
    <w:rsid w:val="00F06F13"/>
    <w:rsid w:val="00F10C13"/>
    <w:rsid w:val="00F1251B"/>
    <w:rsid w:val="00F15570"/>
    <w:rsid w:val="00F169CF"/>
    <w:rsid w:val="00F17BC7"/>
    <w:rsid w:val="00F200BB"/>
    <w:rsid w:val="00F21311"/>
    <w:rsid w:val="00F229FC"/>
    <w:rsid w:val="00F22EC7"/>
    <w:rsid w:val="00F26D2F"/>
    <w:rsid w:val="00F32234"/>
    <w:rsid w:val="00F32507"/>
    <w:rsid w:val="00F325C8"/>
    <w:rsid w:val="00F3347C"/>
    <w:rsid w:val="00F34849"/>
    <w:rsid w:val="00F35A8C"/>
    <w:rsid w:val="00F35E69"/>
    <w:rsid w:val="00F4310F"/>
    <w:rsid w:val="00F46B7B"/>
    <w:rsid w:val="00F479BC"/>
    <w:rsid w:val="00F47A34"/>
    <w:rsid w:val="00F54BE6"/>
    <w:rsid w:val="00F55C49"/>
    <w:rsid w:val="00F55F74"/>
    <w:rsid w:val="00F565B6"/>
    <w:rsid w:val="00F62AEB"/>
    <w:rsid w:val="00F63525"/>
    <w:rsid w:val="00F644CD"/>
    <w:rsid w:val="00F653B8"/>
    <w:rsid w:val="00F662C2"/>
    <w:rsid w:val="00F70647"/>
    <w:rsid w:val="00F70773"/>
    <w:rsid w:val="00F71C69"/>
    <w:rsid w:val="00F722E2"/>
    <w:rsid w:val="00F72F4F"/>
    <w:rsid w:val="00F7495C"/>
    <w:rsid w:val="00F77B99"/>
    <w:rsid w:val="00F77D67"/>
    <w:rsid w:val="00F808F0"/>
    <w:rsid w:val="00F80F5C"/>
    <w:rsid w:val="00F83947"/>
    <w:rsid w:val="00F85BD1"/>
    <w:rsid w:val="00F86276"/>
    <w:rsid w:val="00F87D29"/>
    <w:rsid w:val="00F87FFD"/>
    <w:rsid w:val="00F90B00"/>
    <w:rsid w:val="00F91F02"/>
    <w:rsid w:val="00F92595"/>
    <w:rsid w:val="00F92945"/>
    <w:rsid w:val="00F92BEB"/>
    <w:rsid w:val="00F9573C"/>
    <w:rsid w:val="00FA08E1"/>
    <w:rsid w:val="00FA09D0"/>
    <w:rsid w:val="00FA1266"/>
    <w:rsid w:val="00FA242E"/>
    <w:rsid w:val="00FA29A4"/>
    <w:rsid w:val="00FA3A4C"/>
    <w:rsid w:val="00FB03DC"/>
    <w:rsid w:val="00FB133A"/>
    <w:rsid w:val="00FB2159"/>
    <w:rsid w:val="00FB4DCE"/>
    <w:rsid w:val="00FB50B5"/>
    <w:rsid w:val="00FB586F"/>
    <w:rsid w:val="00FB59CE"/>
    <w:rsid w:val="00FB645D"/>
    <w:rsid w:val="00FB6A3D"/>
    <w:rsid w:val="00FB7308"/>
    <w:rsid w:val="00FC1192"/>
    <w:rsid w:val="00FC43F3"/>
    <w:rsid w:val="00FC5FC2"/>
    <w:rsid w:val="00FC60A7"/>
    <w:rsid w:val="00FC7411"/>
    <w:rsid w:val="00FD2950"/>
    <w:rsid w:val="00FD3579"/>
    <w:rsid w:val="00FD432B"/>
    <w:rsid w:val="00FD4920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187D"/>
    <w:rsid w:val="00FF2138"/>
    <w:rsid w:val="00FF27B3"/>
    <w:rsid w:val="00FF6BE4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PMingLiU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10</TotalTime>
  <Pages>4</Pages>
  <Words>1340</Words>
  <Characters>7643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8966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4</cp:revision>
  <cp:lastPrinted>2019-02-25T14:05:00Z</cp:lastPrinted>
  <dcterms:created xsi:type="dcterms:W3CDTF">2024-11-06T22:29:00Z</dcterms:created>
  <dcterms:modified xsi:type="dcterms:W3CDTF">2024-11-08T01:44:00Z</dcterms:modified>
  <cp:category/>
</cp:coreProperties>
</file>